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33E57" w14:textId="5D837DBA" w:rsidR="00867C0F" w:rsidRDefault="00867C0F" w:rsidP="009F537A">
      <w:pPr>
        <w:jc w:val="center"/>
        <w:rPr>
          <w:b/>
          <w:lang w:val="sr-Latn-RS"/>
        </w:rPr>
      </w:pPr>
    </w:p>
    <w:p w14:paraId="0E148C2E" w14:textId="77777777" w:rsidR="00A45440" w:rsidRDefault="00A45440" w:rsidP="00A45440">
      <w:pPr>
        <w:jc w:val="both"/>
      </w:pPr>
    </w:p>
    <w:p w14:paraId="4114CC04" w14:textId="30823413" w:rsidR="00A45440" w:rsidRDefault="00A45440" w:rsidP="00A45440">
      <w:pPr>
        <w:jc w:val="both"/>
      </w:pPr>
      <w:r>
        <w:t>Na osnovu čl. 77 Zakona o državnoj upravi, čl. 30 Zakona o planskom sistemu Republike Srbije, kao i na osnovu čl. 10 Uredbe Vlade o sredstvima za podsticanje programa ili nedostajućeg dela sredstava za finansiranje programa od javnog interesa koja realizuju udruženja, Nacionalna koalicija za decentralizaciju (NKD) i njene članice podnose:</w:t>
      </w:r>
    </w:p>
    <w:p w14:paraId="55E3901E" w14:textId="77777777" w:rsidR="00A45440" w:rsidRDefault="00A45440" w:rsidP="00A45440">
      <w:pPr>
        <w:jc w:val="both"/>
      </w:pPr>
    </w:p>
    <w:p w14:paraId="161CA080" w14:textId="77777777" w:rsidR="00A45440" w:rsidRDefault="00A45440" w:rsidP="00A45440">
      <w:pPr>
        <w:jc w:val="center"/>
        <w:rPr>
          <w:sz w:val="28"/>
          <w:szCs w:val="28"/>
        </w:rPr>
      </w:pPr>
      <w:r>
        <w:rPr>
          <w:sz w:val="28"/>
          <w:szCs w:val="28"/>
        </w:rPr>
        <w:t>ZAHTEV</w:t>
      </w:r>
    </w:p>
    <w:p w14:paraId="6345FA8E" w14:textId="77777777" w:rsidR="00A45440" w:rsidRDefault="00A45440" w:rsidP="00A45440">
      <w:pPr>
        <w:jc w:val="both"/>
      </w:pPr>
    </w:p>
    <w:p w14:paraId="0EAA124C" w14:textId="77777777" w:rsidR="00A45440" w:rsidRDefault="00A45440" w:rsidP="00A45440">
      <w:pPr>
        <w:jc w:val="both"/>
      </w:pPr>
      <w:r>
        <w:t>Da Ministarstvo omladine i sporta hitno i neodložno, a svakako pre bilo kakvog oblika finansiranja programa ili projekata udruženja građana, obezbedi da svi konkursi za finansiranje i sufinansiranje programa i projekata uključe sledeće kriterijume i procese:</w:t>
      </w:r>
    </w:p>
    <w:p w14:paraId="2D8CB8FD" w14:textId="77777777" w:rsidR="00A45440" w:rsidRDefault="00A45440" w:rsidP="00A45440">
      <w:pPr>
        <w:jc w:val="both"/>
      </w:pPr>
    </w:p>
    <w:p w14:paraId="0AA1916A" w14:textId="77777777" w:rsidR="00A45440" w:rsidRDefault="00A45440" w:rsidP="00A45440">
      <w:pPr>
        <w:numPr>
          <w:ilvl w:val="0"/>
          <w:numId w:val="8"/>
        </w:numPr>
        <w:spacing w:line="276" w:lineRule="auto"/>
        <w:jc w:val="both"/>
      </w:pPr>
      <w:r>
        <w:t xml:space="preserve">Uvesti obavezujuće kriterijume kojim bi se </w:t>
      </w:r>
      <w:r>
        <w:rPr>
          <w:b/>
        </w:rPr>
        <w:t>visina projektnih sredstava određivala u odnosu na teritorijalnu pokrivenost</w:t>
      </w:r>
      <w:r>
        <w:t xml:space="preserve"> koju predviđa projekat ili program, a da postoji obaveza ministarstva da se obezbedi finansiranje projekata na celoj teritoriji Srbije kako bi se izbegla dominacija udruženja iz Beograda. Takođe, visina odobrenih sredstava mora biti u skladu sa organizacionim kapacitetima udruženja.</w:t>
      </w:r>
    </w:p>
    <w:p w14:paraId="73543844" w14:textId="77777777" w:rsidR="00A45440" w:rsidRDefault="00A45440" w:rsidP="00A45440">
      <w:pPr>
        <w:jc w:val="both"/>
      </w:pPr>
    </w:p>
    <w:p w14:paraId="65200A71" w14:textId="5CE0C6F8" w:rsidR="00A45440" w:rsidRDefault="00A45440" w:rsidP="00F06716">
      <w:pPr>
        <w:numPr>
          <w:ilvl w:val="0"/>
          <w:numId w:val="11"/>
        </w:numPr>
        <w:spacing w:line="276" w:lineRule="auto"/>
        <w:jc w:val="both"/>
      </w:pPr>
      <w:r>
        <w:t xml:space="preserve">Uvesti obavezujuću </w:t>
      </w:r>
      <w:r w:rsidRPr="00022A84">
        <w:rPr>
          <w:b/>
        </w:rPr>
        <w:t>proveru zakonitosti funkcionisanja udruženja</w:t>
      </w:r>
      <w:r>
        <w:t xml:space="preserve"> čiji projekti su odabrani za finansiranje kako bi se izbegle situacije u kojima Ministarstvo omladine i sporta finansira udruženja koja su u prekršaju zbog nepodnošenja finansijskih izveštaja državi, kao što je to slučaj sa jednim brojem dobitnika upravo završenog konkursa</w:t>
      </w:r>
      <w:r w:rsidR="00022A84">
        <w:t>.</w:t>
      </w:r>
    </w:p>
    <w:p w14:paraId="5ABE982C" w14:textId="77777777" w:rsidR="00022A84" w:rsidRDefault="00022A84" w:rsidP="00022A84">
      <w:pPr>
        <w:spacing w:line="276" w:lineRule="auto"/>
        <w:ind w:left="720"/>
        <w:jc w:val="both"/>
      </w:pPr>
    </w:p>
    <w:p w14:paraId="193D7D67" w14:textId="77777777" w:rsidR="00A45440" w:rsidRDefault="00A45440" w:rsidP="00A45440">
      <w:pPr>
        <w:numPr>
          <w:ilvl w:val="0"/>
          <w:numId w:val="10"/>
        </w:numPr>
        <w:spacing w:line="276" w:lineRule="auto"/>
        <w:jc w:val="both"/>
      </w:pPr>
      <w:r>
        <w:t xml:space="preserve">Uvesti obavezu </w:t>
      </w:r>
      <w:r>
        <w:rPr>
          <w:b/>
        </w:rPr>
        <w:t>kontrole i provere ko stoji na čelu udruženja koja su dobitnici sredstava</w:t>
      </w:r>
      <w:r>
        <w:t>, kako bi se izbegle situacije na kojima isto ovlašćeno lice vodi više (ponekad i fiktivnih) udruženja na konkursu.</w:t>
      </w:r>
    </w:p>
    <w:p w14:paraId="67008A05" w14:textId="77777777" w:rsidR="00A45440" w:rsidRDefault="00A45440" w:rsidP="00A45440">
      <w:pPr>
        <w:jc w:val="both"/>
      </w:pPr>
    </w:p>
    <w:p w14:paraId="1ABBC519" w14:textId="77777777" w:rsidR="00A45440" w:rsidRDefault="00A45440" w:rsidP="00A45440">
      <w:pPr>
        <w:numPr>
          <w:ilvl w:val="0"/>
          <w:numId w:val="9"/>
        </w:numPr>
        <w:spacing w:line="276" w:lineRule="auto"/>
        <w:jc w:val="both"/>
      </w:pPr>
      <w:r>
        <w:t>Da Ministarstvo poštuje procedure i preporuke Vlade i Kancelarije za saradnju sa civilnim društvom, po kojima postoji obaveza</w:t>
      </w:r>
      <w:r>
        <w:rPr>
          <w:b/>
        </w:rPr>
        <w:t xml:space="preserve"> objavljivanja preliminarne liste dobitnika</w:t>
      </w:r>
      <w:r>
        <w:t>. To MOS nije učinio u slučaju prethodnog konkursa čime je uskratio pravo na žalbu udruženjima kandidatima.</w:t>
      </w:r>
    </w:p>
    <w:p w14:paraId="30851D69" w14:textId="77777777" w:rsidR="00A45440" w:rsidRDefault="00A45440" w:rsidP="00A45440">
      <w:pPr>
        <w:jc w:val="both"/>
      </w:pPr>
    </w:p>
    <w:p w14:paraId="7DC60A00" w14:textId="363E0304" w:rsidR="00A45440" w:rsidRDefault="00A45440" w:rsidP="00A45440">
      <w:pPr>
        <w:numPr>
          <w:ilvl w:val="0"/>
          <w:numId w:val="12"/>
        </w:numPr>
        <w:spacing w:line="276" w:lineRule="auto"/>
        <w:jc w:val="both"/>
      </w:pPr>
      <w:r>
        <w:t xml:space="preserve">Da MOS nakon objavljivanja rezultata konkursa ima obavezu objavljivanja i </w:t>
      </w:r>
      <w:r>
        <w:rPr>
          <w:b/>
        </w:rPr>
        <w:t>bodovne liste</w:t>
      </w:r>
      <w:r>
        <w:t>.</w:t>
      </w:r>
    </w:p>
    <w:p w14:paraId="04069204" w14:textId="0B1C439A" w:rsidR="00022A84" w:rsidRDefault="00022A84" w:rsidP="00022A84">
      <w:pPr>
        <w:spacing w:line="276" w:lineRule="auto"/>
        <w:jc w:val="both"/>
      </w:pPr>
    </w:p>
    <w:p w14:paraId="565A1B7F" w14:textId="77777777" w:rsidR="00022A84" w:rsidRDefault="00022A84" w:rsidP="00022A84">
      <w:pPr>
        <w:spacing w:line="276" w:lineRule="auto"/>
        <w:jc w:val="both"/>
      </w:pPr>
      <w:bookmarkStart w:id="0" w:name="_GoBack"/>
      <w:bookmarkEnd w:id="0"/>
    </w:p>
    <w:p w14:paraId="0C02B6EE" w14:textId="5F307C76" w:rsidR="00AE1DBB" w:rsidRDefault="00AE1DBB" w:rsidP="00AE1DBB">
      <w:pPr>
        <w:spacing w:line="276" w:lineRule="auto"/>
        <w:ind w:left="720"/>
        <w:jc w:val="both"/>
      </w:pPr>
    </w:p>
    <w:p w14:paraId="622396F4" w14:textId="0A62F18D" w:rsidR="00AE1DBB" w:rsidRDefault="00AE1DBB" w:rsidP="00AE1DBB">
      <w:pPr>
        <w:spacing w:line="276" w:lineRule="auto"/>
        <w:ind w:left="720"/>
        <w:jc w:val="both"/>
      </w:pPr>
    </w:p>
    <w:p w14:paraId="10D958B6" w14:textId="7D2CF137" w:rsidR="00AE1DBB" w:rsidRDefault="00AE1DBB" w:rsidP="00AE1DBB">
      <w:pPr>
        <w:spacing w:line="276" w:lineRule="auto"/>
        <w:ind w:left="720"/>
        <w:jc w:val="both"/>
      </w:pPr>
    </w:p>
    <w:p w14:paraId="402EC68A" w14:textId="5D8363D6" w:rsidR="00AE1DBB" w:rsidRDefault="00AE1DBB" w:rsidP="00AE1DBB">
      <w:pPr>
        <w:spacing w:line="276" w:lineRule="auto"/>
        <w:ind w:left="720"/>
        <w:jc w:val="both"/>
      </w:pPr>
    </w:p>
    <w:p w14:paraId="149A026E" w14:textId="735BE8D6" w:rsidR="00AE1DBB" w:rsidRDefault="00AE1DBB" w:rsidP="00AE1DBB">
      <w:pPr>
        <w:spacing w:line="276" w:lineRule="auto"/>
        <w:ind w:left="720"/>
        <w:jc w:val="both"/>
      </w:pPr>
    </w:p>
    <w:p w14:paraId="28004065" w14:textId="2CB336D6" w:rsidR="00AE1DBB" w:rsidRDefault="00AE1DBB" w:rsidP="00AE1DBB">
      <w:pPr>
        <w:spacing w:line="276" w:lineRule="auto"/>
        <w:ind w:left="720"/>
        <w:jc w:val="both"/>
      </w:pPr>
    </w:p>
    <w:p w14:paraId="724B88E7" w14:textId="77777777" w:rsidR="00AE1DBB" w:rsidRDefault="00AE1DBB" w:rsidP="00AE1DBB">
      <w:pPr>
        <w:spacing w:line="276" w:lineRule="auto"/>
        <w:ind w:left="720"/>
        <w:jc w:val="both"/>
      </w:pPr>
    </w:p>
    <w:p w14:paraId="317A9F6E" w14:textId="77777777" w:rsidR="00A45440" w:rsidRDefault="00A45440" w:rsidP="00A45440">
      <w:pPr>
        <w:ind w:left="720"/>
        <w:jc w:val="both"/>
      </w:pPr>
    </w:p>
    <w:p w14:paraId="48431B7F" w14:textId="77777777" w:rsidR="00A45440" w:rsidRDefault="00A45440" w:rsidP="00A45440">
      <w:pPr>
        <w:numPr>
          <w:ilvl w:val="0"/>
          <w:numId w:val="12"/>
        </w:numPr>
        <w:spacing w:line="276" w:lineRule="auto"/>
        <w:jc w:val="both"/>
      </w:pPr>
      <w:r>
        <w:t xml:space="preserve">Da </w:t>
      </w:r>
      <w:r>
        <w:rPr>
          <w:b/>
        </w:rPr>
        <w:t>komisije za stručni pregled i ocenjivanje projekata čine ljudi sa odgovarajućim iskustvom u projektnom delovanju, kao i da predstavnici ministarstva ne čine većinu u komisiji.</w:t>
      </w:r>
      <w:r>
        <w:t xml:space="preserve"> Takođe, angažovanje osoblja ministarstva u komisijama nije poželjno jer je njihova objektivnost u ocenjivanju kompromitovana svakodnevnom komunikacijom sa udruženjima, što stavlja u nepovoljniji položaj udruženja koja ređe komuniciraju ili nisu bliska sa zaposlenima. Uloga ministarstva je da konkurs sprovede i obezbedi nezavistan proces izbora najboljih aplikacija. Uloga ministarstva nije samo da izabere dobitnike konkursa.</w:t>
      </w:r>
    </w:p>
    <w:p w14:paraId="5182BD7D" w14:textId="77777777" w:rsidR="00A45440" w:rsidRDefault="00A45440" w:rsidP="00A45440">
      <w:pPr>
        <w:ind w:left="720"/>
        <w:jc w:val="both"/>
      </w:pPr>
    </w:p>
    <w:p w14:paraId="1FAC42E6" w14:textId="0031CBD7" w:rsidR="00A45440" w:rsidRDefault="00A45440" w:rsidP="00A45440">
      <w:pPr>
        <w:ind w:firstLine="720"/>
        <w:jc w:val="both"/>
      </w:pPr>
      <w:r>
        <w:t xml:space="preserve">Najvažniji zahtev se ipak odnosi na potrebu uspostavljanja jačeg sistema kontrole i odgovornosti nad konkursima MOSa, kao i drugim konkursima koje sprovodi Vlada i ministarstva Republike Srbije. </w:t>
      </w:r>
      <w:r>
        <w:rPr>
          <w:b/>
          <w:u w:val="single"/>
        </w:rPr>
        <w:t xml:space="preserve">NKD i članice zahtevaju </w:t>
      </w:r>
      <w:r w:rsidR="001A6652">
        <w:rPr>
          <w:b/>
          <w:u w:val="single"/>
        </w:rPr>
        <w:t>da se za svaki konkurs formira v</w:t>
      </w:r>
      <w:r>
        <w:rPr>
          <w:b/>
          <w:u w:val="single"/>
        </w:rPr>
        <w:t xml:space="preserve">alidaciona komisija </w:t>
      </w:r>
      <w:r>
        <w:t>koju bi činili predstavnici civilnog društva i stručnjaci iz oblasti kojoj su posvećeni konkursi. Validaciona komisija bi imala mandat</w:t>
      </w:r>
      <w:r w:rsidR="00AE1DBB">
        <w:t xml:space="preserve"> da vrši verifikaciju svakog </w:t>
      </w:r>
      <w:r>
        <w:t>koraka u procesu dodeljivanja sredstava: objavljivanja konkursa, definisanja liste kandidata, objavljivanj</w:t>
      </w:r>
      <w:r w:rsidR="00AE1DBB">
        <w:t>a</w:t>
      </w:r>
      <w:r>
        <w:t xml:space="preserve"> preliminarne liste, objavljivanja konačne liste dobitnika, kao i prijem finalnih izveštaja nakon realizacije projekata. Validaciona komisija bi imala ulogu provere zakonitosti postupanja ministarstva, ispunjenja kriterijuma i svrsishodnosti odluka na konkursima ministarstava, a imala bi pravo, da ukoliko se za to ispune uslovi, obustavi dalje sprovođenje konkursa. Validacionu komisiju bi sačinjavali predstavnici civilnog društva iz organizacija koje nisu aplicirale na konkursima. </w:t>
      </w:r>
    </w:p>
    <w:p w14:paraId="2E8F26E8" w14:textId="77777777" w:rsidR="00A45440" w:rsidRDefault="00A45440" w:rsidP="00A45440">
      <w:pPr>
        <w:jc w:val="both"/>
      </w:pPr>
    </w:p>
    <w:p w14:paraId="44D45258" w14:textId="2BD0BC14" w:rsidR="00A45440" w:rsidRDefault="00A45440" w:rsidP="00A45440">
      <w:pPr>
        <w:ind w:firstLine="720"/>
        <w:jc w:val="both"/>
      </w:pPr>
      <w:r>
        <w:t>Takođe, Nacionalna koalicija za decentralizaciju (NKD) nudi saradnju i stavlja svoje kapacitete na raspolaganje radi uspešnog ispunjenja zahteva i rada na os</w:t>
      </w:r>
      <w:r w:rsidR="001A6652">
        <w:t xml:space="preserve">mišljavanju detalja u vezi </w:t>
      </w:r>
      <w:proofErr w:type="gramStart"/>
      <w:r w:rsidR="001A6652">
        <w:t>sa  v</w:t>
      </w:r>
      <w:r>
        <w:t>alidacionom</w:t>
      </w:r>
      <w:proofErr w:type="gramEnd"/>
      <w:r>
        <w:t xml:space="preserve"> komisijom.</w:t>
      </w:r>
    </w:p>
    <w:p w14:paraId="2067DF6D" w14:textId="77777777" w:rsidR="00A45440" w:rsidRDefault="00A45440" w:rsidP="00A45440">
      <w:pPr>
        <w:jc w:val="both"/>
      </w:pPr>
    </w:p>
    <w:p w14:paraId="4BF309D3" w14:textId="77777777" w:rsidR="00A45440" w:rsidRDefault="00A45440" w:rsidP="00A45440">
      <w:pPr>
        <w:ind w:firstLine="720"/>
        <w:jc w:val="both"/>
      </w:pPr>
      <w:r>
        <w:t xml:space="preserve">Predlažemo uspostavljanje ovakve vrste kontrole kako bi se obezbedila primena antikorupcijskih mera, izbegle situacije favorizacije i/ili revanšizma prema kandidatima i obezbedilo konstantno unapređenje procesa. Ministarstvo omladine i sporta je poslednjih godina izmenom kriterijuma i načina postupanja dovelo dotle da su udruženja potpuno izgubila poverenje u proces, da je javna tajna da postoje „crne </w:t>
      </w:r>
      <w:proofErr w:type="gramStart"/>
      <w:r>
        <w:t>liste“ koje</w:t>
      </w:r>
      <w:proofErr w:type="gramEnd"/>
      <w:r>
        <w:t xml:space="preserve"> su politički kreirane i da se sredstvima iz budžeta finansiraju nepostojeće organizacije čije aktivnosti se dešavaju samo između dva konkursa. Takođe, favorizacijom udruženja iz Beograda, sredstva Ministarstva omladine i sporta praktično služe za produbljivanje regionalnih razlika u Srbiji, jer beogradska udruženja dobijaju i preko 70% (!?) sredstava na konkursima.</w:t>
      </w:r>
    </w:p>
    <w:p w14:paraId="45CCCA74" w14:textId="77777777" w:rsidR="00A45440" w:rsidRDefault="00A45440" w:rsidP="00A45440">
      <w:pPr>
        <w:jc w:val="both"/>
      </w:pPr>
    </w:p>
    <w:p w14:paraId="5C7FA612" w14:textId="0E6A2589" w:rsidR="00A45440" w:rsidRDefault="00A45440" w:rsidP="00A45440">
      <w:pPr>
        <w:ind w:firstLine="720"/>
        <w:jc w:val="both"/>
      </w:pPr>
      <w:r>
        <w:t xml:space="preserve">Sa našim predlogom upoznaćemo i međunarodnu donatorsku i diplomatsku zajednicu od koje ćemo tražiti da </w:t>
      </w:r>
      <w:r w:rsidR="001A6652">
        <w:t>v</w:t>
      </w:r>
      <w:r>
        <w:t>alidacione komisije budu deo uslova za sve donacije ka državi Srbiji u svim oblastima u kojima je država korisnik njihovih sredstava. Urušavanje procesa javnih konkursa unutar Ministarstva omladine i sporta biće predstavljeno kao jedan od primera kojim obrazlažemo našu inicijativu.</w:t>
      </w:r>
    </w:p>
    <w:p w14:paraId="2812E9E4" w14:textId="77777777" w:rsidR="00A45440" w:rsidRDefault="00A45440" w:rsidP="00A45440">
      <w:pPr>
        <w:jc w:val="both"/>
      </w:pPr>
    </w:p>
    <w:p w14:paraId="78A39223" w14:textId="77777777" w:rsidR="00A45440" w:rsidRDefault="00A45440" w:rsidP="00A45440">
      <w:pPr>
        <w:jc w:val="both"/>
      </w:pPr>
    </w:p>
    <w:p w14:paraId="362A3F67" w14:textId="77777777" w:rsidR="00A45440" w:rsidRDefault="00A45440" w:rsidP="00A45440"/>
    <w:p w14:paraId="0DCF2179" w14:textId="77777777" w:rsidR="00A45440" w:rsidRDefault="00A45440" w:rsidP="00A45440">
      <w:pPr>
        <w:jc w:val="center"/>
        <w:rPr>
          <w:sz w:val="28"/>
          <w:szCs w:val="28"/>
        </w:rPr>
      </w:pPr>
    </w:p>
    <w:p w14:paraId="33A1E473" w14:textId="77777777" w:rsidR="00A45440" w:rsidRDefault="00A45440" w:rsidP="00A45440">
      <w:pPr>
        <w:jc w:val="center"/>
        <w:rPr>
          <w:sz w:val="28"/>
          <w:szCs w:val="28"/>
        </w:rPr>
      </w:pPr>
    </w:p>
    <w:p w14:paraId="64C5E7E4" w14:textId="77777777" w:rsidR="00A45440" w:rsidRDefault="00A45440" w:rsidP="00A45440">
      <w:pPr>
        <w:jc w:val="center"/>
      </w:pPr>
      <w:r>
        <w:rPr>
          <w:sz w:val="28"/>
          <w:szCs w:val="28"/>
        </w:rPr>
        <w:t>OBRAZLOŽENJE</w:t>
      </w:r>
    </w:p>
    <w:p w14:paraId="175E070C" w14:textId="77777777" w:rsidR="00A45440" w:rsidRDefault="00A45440" w:rsidP="00A45440">
      <w:pPr>
        <w:jc w:val="both"/>
      </w:pPr>
    </w:p>
    <w:p w14:paraId="0D411C72" w14:textId="77777777" w:rsidR="00A45440" w:rsidRDefault="00A45440" w:rsidP="00A45440">
      <w:pPr>
        <w:ind w:firstLine="720"/>
        <w:jc w:val="both"/>
      </w:pPr>
      <w:r>
        <w:t>Zahtev NKD-a motivisan je rezultatima i postupcima ministarstva u 2 poslednja konkursa:</w:t>
      </w:r>
    </w:p>
    <w:p w14:paraId="15ED0706" w14:textId="77777777" w:rsidR="00A45440" w:rsidRDefault="00A45440" w:rsidP="00A45440">
      <w:pPr>
        <w:ind w:firstLine="720"/>
        <w:jc w:val="both"/>
      </w:pPr>
    </w:p>
    <w:p w14:paraId="6659416E" w14:textId="09DCA1A7" w:rsidR="00A45440" w:rsidRPr="003B6D54" w:rsidRDefault="00A45440" w:rsidP="00021A4F">
      <w:pPr>
        <w:numPr>
          <w:ilvl w:val="0"/>
          <w:numId w:val="7"/>
        </w:numPr>
        <w:spacing w:line="276" w:lineRule="auto"/>
        <w:jc w:val="both"/>
        <w:rPr>
          <w:color w:val="FF0000"/>
        </w:rPr>
      </w:pPr>
      <w:r>
        <w:t xml:space="preserve">Konkurs za finansiranje i sufinansiranje programa i projekata za </w:t>
      </w:r>
      <w:proofErr w:type="gramStart"/>
      <w:r>
        <w:t>sprovođenje  ciljeva</w:t>
      </w:r>
      <w:proofErr w:type="gramEnd"/>
      <w:r>
        <w:t xml:space="preserve"> </w:t>
      </w:r>
      <w:r w:rsidRPr="003B6D54">
        <w:rPr>
          <w:i/>
        </w:rPr>
        <w:t>Nacionalne strategije za mlade</w:t>
      </w:r>
      <w:r>
        <w:t xml:space="preserve"> i programa </w:t>
      </w:r>
      <w:r w:rsidRPr="003B6D54">
        <w:rPr>
          <w:i/>
        </w:rPr>
        <w:t>Mladi su zakon</w:t>
      </w:r>
    </w:p>
    <w:p w14:paraId="0FDB9023" w14:textId="4400ED5E" w:rsidR="00A45440" w:rsidRDefault="00A45440" w:rsidP="00BC6D86">
      <w:pPr>
        <w:numPr>
          <w:ilvl w:val="0"/>
          <w:numId w:val="7"/>
        </w:numPr>
        <w:spacing w:line="276" w:lineRule="auto"/>
        <w:jc w:val="both"/>
      </w:pPr>
      <w:r>
        <w:t>Konkurs za stimulisanje različitih oblika zapošljavanja, samozapošljavanja i preduzetništva mladih</w:t>
      </w:r>
    </w:p>
    <w:p w14:paraId="75355B70" w14:textId="77777777" w:rsidR="00A45440" w:rsidRDefault="00A45440" w:rsidP="00A45440">
      <w:pPr>
        <w:jc w:val="both"/>
        <w:rPr>
          <w:i/>
        </w:rPr>
      </w:pPr>
    </w:p>
    <w:p w14:paraId="1B01D7E4" w14:textId="77777777" w:rsidR="00A45440" w:rsidRDefault="00A45440" w:rsidP="00A45440">
      <w:pPr>
        <w:jc w:val="center"/>
        <w:rPr>
          <w:i/>
        </w:rPr>
      </w:pPr>
      <w:r>
        <w:t>KONKURS ZA FINANSIRANJE I SUFINANSIRANJE PROGRAMA I PROJEKATA ZA SPROVOĐENJE CILJEVA NACIONALNE STRATEGIJE ZA MLADE I PROGRAMA “MLADI SU ZAKON”</w:t>
      </w:r>
      <w:r>
        <w:rPr>
          <w:i/>
        </w:rPr>
        <w:t xml:space="preserve"> </w:t>
      </w:r>
    </w:p>
    <w:p w14:paraId="30C41793" w14:textId="77777777" w:rsidR="00A45440" w:rsidRDefault="00A45440" w:rsidP="00A45440">
      <w:pPr>
        <w:jc w:val="center"/>
        <w:rPr>
          <w:i/>
          <w:color w:val="FF0000"/>
        </w:rPr>
      </w:pPr>
    </w:p>
    <w:p w14:paraId="6DC942C2" w14:textId="659C2015" w:rsidR="00A45440" w:rsidRDefault="00A45440" w:rsidP="00A45440">
      <w:pPr>
        <w:ind w:firstLine="720"/>
        <w:jc w:val="both"/>
      </w:pPr>
      <w:r>
        <w:t>Uprkos činjenici da je realizacija konkursa Vlade Srbije, koji spadaju u okvire</w:t>
      </w:r>
      <w:r>
        <w:rPr>
          <w:i/>
        </w:rPr>
        <w:t xml:space="preserve"> Nacionalne strategije za mlade</w:t>
      </w:r>
      <w:r>
        <w:t xml:space="preserve">, predviđena na celoj teritoriji Republike Srbije, najveći broj podržanih projekata, više od polovine, dolazi iz Beograda, čak 60%. Prevedeno u brojeve, projektima i programima organizacija i udruženja sa teritorije Beograda, dato je 71% od ukupnog budžeta izdvojenog za konkurs, čak 55.615.240 dinara. </w:t>
      </w:r>
    </w:p>
    <w:p w14:paraId="3187B7E5" w14:textId="77777777" w:rsidR="0078041E" w:rsidRDefault="0078041E" w:rsidP="00A45440">
      <w:pPr>
        <w:ind w:firstLine="720"/>
        <w:jc w:val="both"/>
      </w:pPr>
    </w:p>
    <w:p w14:paraId="5D12FCF1" w14:textId="3EA6A61B" w:rsidR="00A45440" w:rsidRDefault="00A45440" w:rsidP="00A45440">
      <w:pPr>
        <w:ind w:firstLine="720"/>
        <w:jc w:val="both"/>
      </w:pPr>
      <w:r>
        <w:t xml:space="preserve">Vlada Srbije je još u februaru 2015. godine donela </w:t>
      </w:r>
      <w:r>
        <w:rPr>
          <w:i/>
        </w:rPr>
        <w:t>Nacionalnu strategiju za mlade</w:t>
      </w:r>
      <w:r>
        <w:t xml:space="preserve"> za period od 2015. do 2025. godine, dokument koji predstavlja sistemska rešenja najznačajnih pitanja u različitim oblastima života mladih u Republici Srbiji. Kao dugoročni projekat, strategiju za mlade i prateći akcioni plan sprovodi Ministarstvo omladine i sporta, uz učešće organa nadležnih za posebne oblasti u omladinskom sektoru i svih drugih subjekata omladinske politike na nacionalnom, pokrajinskom i lokalnom nivou. </w:t>
      </w:r>
    </w:p>
    <w:p w14:paraId="1A3F3274" w14:textId="77777777" w:rsidR="0078041E" w:rsidRDefault="0078041E" w:rsidP="00A45440">
      <w:pPr>
        <w:ind w:firstLine="720"/>
        <w:jc w:val="both"/>
      </w:pPr>
    </w:p>
    <w:p w14:paraId="3C7E9C1E" w14:textId="057F3B0D" w:rsidR="00A45440" w:rsidRDefault="00A45440" w:rsidP="00A45440">
      <w:pPr>
        <w:ind w:firstLine="720"/>
        <w:jc w:val="both"/>
      </w:pPr>
      <w:r>
        <w:t xml:space="preserve">U okviru te strategije raspisan je i javni konkurs za finansiranje i sufinansiranje programa i projekata za sprovođenje ciljeva </w:t>
      </w:r>
      <w:r>
        <w:rPr>
          <w:i/>
        </w:rPr>
        <w:t>Nacionalne strategije za mlade</w:t>
      </w:r>
      <w:r>
        <w:t xml:space="preserve"> i programa  </w:t>
      </w:r>
      <w:r>
        <w:rPr>
          <w:i/>
        </w:rPr>
        <w:t>Mladi su zakon</w:t>
      </w:r>
      <w:r>
        <w:t>.</w:t>
      </w:r>
      <w:r>
        <w:rPr>
          <w:vertAlign w:val="superscript"/>
        </w:rPr>
        <w:footnoteReference w:id="1"/>
      </w:r>
      <w:r>
        <w:t xml:space="preserve"> Konkurs je završen 24. februara 2020, a članovi komisije i ministar omladine i sporta doneli su odluku o dodeli sredstava za finansiranje i sufinansiranje programa i projekata kao i rešenje o rasporedu dela sredstava za programe i projekte od javnog interesa u oblastima omladinskog sektora kojim je utvrđena lista projekata koji se finansiraju i visina sredstava po odobrenom projektu.</w:t>
      </w:r>
    </w:p>
    <w:p w14:paraId="445CAF28" w14:textId="70F786B8" w:rsidR="000F7824" w:rsidRDefault="000F7824" w:rsidP="00A45440">
      <w:pPr>
        <w:ind w:firstLine="720"/>
        <w:jc w:val="both"/>
      </w:pPr>
    </w:p>
    <w:p w14:paraId="62F83F79" w14:textId="68A7DDE5" w:rsidR="000F7824" w:rsidRDefault="000F7824" w:rsidP="00A45440">
      <w:pPr>
        <w:ind w:firstLine="720"/>
        <w:jc w:val="both"/>
      </w:pPr>
    </w:p>
    <w:p w14:paraId="0AF88B56" w14:textId="7C06205B" w:rsidR="000F7824" w:rsidRDefault="000F7824" w:rsidP="00A45440">
      <w:pPr>
        <w:ind w:firstLine="720"/>
        <w:jc w:val="both"/>
      </w:pPr>
    </w:p>
    <w:p w14:paraId="12143328" w14:textId="2BFB2ED1" w:rsidR="000F7824" w:rsidRDefault="000F7824" w:rsidP="00A45440">
      <w:pPr>
        <w:ind w:firstLine="720"/>
        <w:jc w:val="both"/>
      </w:pPr>
    </w:p>
    <w:p w14:paraId="5E3FE4FC" w14:textId="54408850" w:rsidR="000F7824" w:rsidRDefault="000F7824" w:rsidP="00A45440">
      <w:pPr>
        <w:ind w:firstLine="720"/>
        <w:jc w:val="both"/>
      </w:pPr>
    </w:p>
    <w:p w14:paraId="4ABA4D10" w14:textId="77777777" w:rsidR="000F7824" w:rsidRDefault="000F7824" w:rsidP="00A45440">
      <w:pPr>
        <w:ind w:firstLine="720"/>
        <w:jc w:val="both"/>
      </w:pPr>
    </w:p>
    <w:p w14:paraId="51AE15C9" w14:textId="32B85784" w:rsidR="003B6D54" w:rsidRDefault="000F7824" w:rsidP="00A45440">
      <w:pPr>
        <w:ind w:firstLine="720"/>
        <w:jc w:val="both"/>
      </w:pPr>
      <w:r>
        <w:t>N</w:t>
      </w:r>
      <w:r w:rsidR="00A45440">
        <w:t>a konkursu je učestvovalo 99 aplikanata, a samo trećini su odobrena sredstva iz ukupnog budžeta koji je iznosio 77.998.935,87 dinara.</w:t>
      </w:r>
      <w:r w:rsidR="00A45440">
        <w:rPr>
          <w:vertAlign w:val="superscript"/>
        </w:rPr>
        <w:footnoteReference w:id="2"/>
      </w:r>
    </w:p>
    <w:p w14:paraId="2D19DAF9" w14:textId="77777777" w:rsidR="003B6D54" w:rsidRDefault="003B6D54" w:rsidP="00A45440">
      <w:pPr>
        <w:ind w:firstLine="720"/>
        <w:jc w:val="both"/>
      </w:pPr>
    </w:p>
    <w:p w14:paraId="5E8B0A4F" w14:textId="3196BCBB" w:rsidR="00A45440" w:rsidRDefault="00A45440" w:rsidP="00A45440">
      <w:pPr>
        <w:ind w:firstLine="720"/>
        <w:jc w:val="both"/>
      </w:pPr>
      <w:r>
        <w:t xml:space="preserve">Na konkursu za dodelu sredstava mogla su učestvovati udruženja mladih, udruženja za mlade ili njihovi savezi koji su upisani u Jedinstvenu evidenciju udruženja mladih, udruženja za mlade i njihovih saveza u skladu sa Pravilnikom o sadržini i načinu vođenja jedinstvene evidencije. </w:t>
      </w:r>
    </w:p>
    <w:p w14:paraId="7ED327DF" w14:textId="77777777" w:rsidR="0078041E" w:rsidRDefault="0078041E" w:rsidP="00A45440">
      <w:pPr>
        <w:ind w:firstLine="720"/>
        <w:jc w:val="both"/>
      </w:pPr>
    </w:p>
    <w:p w14:paraId="17174F78" w14:textId="05ADA355" w:rsidR="00A45440" w:rsidRDefault="00A45440" w:rsidP="00A45440">
      <w:pPr>
        <w:ind w:firstLine="720"/>
        <w:jc w:val="both"/>
      </w:pPr>
      <w:r>
        <w:t xml:space="preserve">Ciljevi ovog konkursa podrazumevali su sprovođenje ciljeva </w:t>
      </w:r>
      <w:r>
        <w:rPr>
          <w:i/>
        </w:rPr>
        <w:t>Nacionalne strategije za mlade</w:t>
      </w:r>
      <w:r>
        <w:t xml:space="preserve"> (cilj A) i sprovođenje programa </w:t>
      </w:r>
      <w:r>
        <w:rPr>
          <w:i/>
        </w:rPr>
        <w:t>Mladi su zakon</w:t>
      </w:r>
      <w:r>
        <w:t xml:space="preserve"> (cilj B). Najviši iznos sredstava za finansiranje ili sufinansiranje za realizaciju programa ili projekta u okviru “cilja A” od strane Ministarstva, iznosio je 5.000.000,00 dinara. Raspoloživa finansijska sredstva za realizaciju programa ili projekta kojima se ostvaruje “cilj B” ovog konkursa iznosila su ukupno 22.000.000 dinara. </w:t>
      </w:r>
    </w:p>
    <w:p w14:paraId="715F972B" w14:textId="77777777" w:rsidR="0078041E" w:rsidRDefault="0078041E" w:rsidP="00A45440">
      <w:pPr>
        <w:ind w:firstLine="720"/>
        <w:jc w:val="both"/>
      </w:pPr>
    </w:p>
    <w:p w14:paraId="74506F1B" w14:textId="7B373BA9" w:rsidR="00A45440" w:rsidRDefault="00A45440" w:rsidP="00A45440">
      <w:pPr>
        <w:ind w:firstLine="720"/>
        <w:jc w:val="both"/>
      </w:pPr>
      <w:r>
        <w:t>Preporučeno je bilo da jedan nosilac programa ili projekta učestvuje na konkursu sa jednim programom ili projektom, kojim se realizuje jedan od ciljeva konkursa. U odnosu na izabranu oblast, bilo je moguće predložiti inovativne programe ili projekte; programe ili projekte za koje se ovim konkursom obezbeđuje sufinansiranje; programe ili projekte koji predstavljaju nastavak započetih aktivnosti iz ranijih programa ili projekata ili programe i projekte po ugledu na ranije realizovane koji su dali dobre rezultate.</w:t>
      </w:r>
      <w:r>
        <w:rPr>
          <w:vertAlign w:val="superscript"/>
        </w:rPr>
        <w:footnoteReference w:id="3"/>
      </w:r>
      <w:r>
        <w:t xml:space="preserve"> </w:t>
      </w:r>
    </w:p>
    <w:p w14:paraId="10F8CA18" w14:textId="77777777" w:rsidR="0078041E" w:rsidRDefault="0078041E" w:rsidP="00A45440">
      <w:pPr>
        <w:ind w:firstLine="720"/>
        <w:jc w:val="both"/>
      </w:pPr>
    </w:p>
    <w:p w14:paraId="4CC347B5" w14:textId="336DAC66" w:rsidR="00A45440" w:rsidRDefault="00A45440" w:rsidP="00A45440">
      <w:pPr>
        <w:ind w:firstLine="720"/>
        <w:jc w:val="both"/>
      </w:pPr>
      <w:r>
        <w:t xml:space="preserve">Aktivnosti programa ili projekata podržanih u okviru ovog konkursa mogle su se realizovati na teritoriji jedne ili više jedinica lokalne samouprave u Republici Srbiji, nezavisno od sedišta nosioca programa ili projekta. Ipak, najveći broj podržanih projekata, više od polovine, dolazi iz Beograda, čak 60%. Nakon Beograda slede, Kikinda (6.16%), Novi Sad sa 4,543,395 dinara (5.90% budžeta), Kosovska Mitrovica (4.37%) i ostali kojima je pripalo manje od 3% ukupnih sredstava. </w:t>
      </w:r>
    </w:p>
    <w:p w14:paraId="117B88F1" w14:textId="77777777" w:rsidR="0078041E" w:rsidRDefault="0078041E" w:rsidP="00A45440">
      <w:pPr>
        <w:ind w:firstLine="720"/>
        <w:jc w:val="both"/>
      </w:pPr>
    </w:p>
    <w:p w14:paraId="290BEFE9" w14:textId="0CB95995" w:rsidR="00A45440" w:rsidRDefault="00A45440" w:rsidP="003B6D54">
      <w:pPr>
        <w:ind w:firstLine="720"/>
        <w:jc w:val="both"/>
      </w:pPr>
      <w:r>
        <w:t>Iako je na konkursu učestvovalo 90 aplikanata, projekti mnogih jedinica lokalnih samouprava ostali su bez podrške ministarstva. Gradovi i opštine u kojima nije podržana ni jedna organizacija su Vrnjačka Banja, Pančevo, Pirot, Užice, Šabac, Kovin, Žitorađa, Požarevac, Prijepolje, Vršac, Vranjska Banja, Apatin, Leskovac, Gornji Milanovac, Sombor, Subotica, Sremska Mitrovica, Zaječar, Bor, Požega, Kuršumlija.</w:t>
      </w:r>
    </w:p>
    <w:p w14:paraId="3DAE53D7" w14:textId="63D3271C" w:rsidR="003B6D54" w:rsidRDefault="003B6D54" w:rsidP="003B6D54">
      <w:pPr>
        <w:ind w:firstLine="720"/>
        <w:jc w:val="both"/>
      </w:pPr>
    </w:p>
    <w:p w14:paraId="36904C5E" w14:textId="58CE7AE7" w:rsidR="003B6D54" w:rsidRDefault="003B6D54" w:rsidP="003B6D54">
      <w:pPr>
        <w:ind w:firstLine="720"/>
        <w:jc w:val="both"/>
      </w:pPr>
    </w:p>
    <w:p w14:paraId="044DD812" w14:textId="3966F073" w:rsidR="003B6D54" w:rsidRDefault="003B6D54" w:rsidP="003B6D54">
      <w:pPr>
        <w:ind w:firstLine="720"/>
        <w:jc w:val="both"/>
      </w:pPr>
    </w:p>
    <w:p w14:paraId="3D233150" w14:textId="0A27931F" w:rsidR="003B6D54" w:rsidRDefault="003B6D54" w:rsidP="003B6D54">
      <w:pPr>
        <w:ind w:firstLine="720"/>
        <w:jc w:val="both"/>
      </w:pPr>
    </w:p>
    <w:p w14:paraId="2B43C38F" w14:textId="61B220BC" w:rsidR="003B6D54" w:rsidRDefault="003B6D54" w:rsidP="003B6D54">
      <w:pPr>
        <w:ind w:firstLine="720"/>
        <w:jc w:val="both"/>
      </w:pPr>
    </w:p>
    <w:p w14:paraId="099EB9B2" w14:textId="29469CA2" w:rsidR="003B6D54" w:rsidRDefault="003B6D54" w:rsidP="003B6D54">
      <w:pPr>
        <w:ind w:firstLine="720"/>
        <w:jc w:val="both"/>
      </w:pPr>
    </w:p>
    <w:p w14:paraId="14F3CAD2" w14:textId="67B89734" w:rsidR="003B6D54" w:rsidRDefault="003B6D54" w:rsidP="003B6D54">
      <w:pPr>
        <w:ind w:firstLine="720"/>
        <w:jc w:val="both"/>
      </w:pPr>
    </w:p>
    <w:p w14:paraId="2F8D9995" w14:textId="6649ADFC" w:rsidR="003B6D54" w:rsidRDefault="003B6D54" w:rsidP="003B6D54">
      <w:pPr>
        <w:ind w:firstLine="720"/>
        <w:jc w:val="both"/>
      </w:pPr>
    </w:p>
    <w:p w14:paraId="5484A7E2" w14:textId="77777777" w:rsidR="003B6D54" w:rsidRDefault="003B6D54" w:rsidP="003B6D54">
      <w:pPr>
        <w:ind w:firstLine="720"/>
        <w:jc w:val="both"/>
        <w:rPr>
          <w:sz w:val="28"/>
          <w:szCs w:val="28"/>
        </w:rPr>
      </w:pPr>
    </w:p>
    <w:p w14:paraId="49FF814E" w14:textId="50A72138" w:rsidR="00A45440" w:rsidRDefault="00A45440" w:rsidP="00A45440">
      <w:pPr>
        <w:pStyle w:val="Heading1"/>
        <w:rPr>
          <w:b/>
          <w:i/>
          <w:sz w:val="22"/>
          <w:szCs w:val="22"/>
        </w:rPr>
      </w:pPr>
      <w:bookmarkStart w:id="1" w:name="_dnszfxyt25iz" w:colFirst="0" w:colLast="0"/>
      <w:bookmarkEnd w:id="1"/>
      <w:r w:rsidRPr="003B6D54">
        <w:rPr>
          <w:b/>
          <w:i/>
          <w:sz w:val="22"/>
          <w:szCs w:val="22"/>
        </w:rPr>
        <w:t>Tabela br.1. Organizacije koje su dobile sredstva na konkursu “Mladi su zakon”</w:t>
      </w:r>
    </w:p>
    <w:p w14:paraId="36B23EEF" w14:textId="77777777" w:rsidR="008466D3" w:rsidRPr="008466D3" w:rsidRDefault="008466D3" w:rsidP="008466D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1455"/>
        <w:gridCol w:w="1665"/>
        <w:gridCol w:w="2355"/>
        <w:gridCol w:w="1590"/>
      </w:tblGrid>
      <w:tr w:rsidR="00A45440" w14:paraId="224BF541" w14:textId="77777777" w:rsidTr="00C312B2">
        <w:tc>
          <w:tcPr>
            <w:tcW w:w="2295" w:type="dxa"/>
            <w:shd w:val="clear" w:color="auto" w:fill="auto"/>
            <w:tcMar>
              <w:top w:w="100" w:type="dxa"/>
              <w:left w:w="100" w:type="dxa"/>
              <w:bottom w:w="100" w:type="dxa"/>
              <w:right w:w="100" w:type="dxa"/>
            </w:tcMar>
          </w:tcPr>
          <w:p w14:paraId="6A1067FF" w14:textId="77777777" w:rsidR="00A45440" w:rsidRDefault="00A45440" w:rsidP="00C312B2">
            <w:pPr>
              <w:widowControl w:val="0"/>
              <w:rPr>
                <w:b/>
                <w:sz w:val="28"/>
                <w:szCs w:val="28"/>
              </w:rPr>
            </w:pPr>
            <w:r>
              <w:rPr>
                <w:b/>
                <w:sz w:val="28"/>
                <w:szCs w:val="28"/>
              </w:rPr>
              <w:t>Jedinica lokalne samouprave</w:t>
            </w:r>
          </w:p>
        </w:tc>
        <w:tc>
          <w:tcPr>
            <w:tcW w:w="1455" w:type="dxa"/>
            <w:shd w:val="clear" w:color="auto" w:fill="auto"/>
            <w:tcMar>
              <w:top w:w="100" w:type="dxa"/>
              <w:left w:w="100" w:type="dxa"/>
              <w:bottom w:w="100" w:type="dxa"/>
              <w:right w:w="100" w:type="dxa"/>
            </w:tcMar>
          </w:tcPr>
          <w:p w14:paraId="1272999A" w14:textId="77777777" w:rsidR="00A45440" w:rsidRDefault="00A45440" w:rsidP="00C312B2">
            <w:pPr>
              <w:widowControl w:val="0"/>
              <w:rPr>
                <w:sz w:val="28"/>
                <w:szCs w:val="28"/>
              </w:rPr>
            </w:pPr>
            <w:r>
              <w:rPr>
                <w:b/>
                <w:sz w:val="28"/>
                <w:szCs w:val="28"/>
              </w:rPr>
              <w:t>Br.org. dobitnika</w:t>
            </w:r>
          </w:p>
        </w:tc>
        <w:tc>
          <w:tcPr>
            <w:tcW w:w="1665" w:type="dxa"/>
            <w:shd w:val="clear" w:color="auto" w:fill="auto"/>
            <w:tcMar>
              <w:top w:w="100" w:type="dxa"/>
              <w:left w:w="100" w:type="dxa"/>
              <w:bottom w:w="100" w:type="dxa"/>
              <w:right w:w="100" w:type="dxa"/>
            </w:tcMar>
          </w:tcPr>
          <w:p w14:paraId="517B5501" w14:textId="77777777" w:rsidR="00A45440" w:rsidRDefault="00A45440" w:rsidP="00C312B2">
            <w:pPr>
              <w:widowControl w:val="0"/>
              <w:rPr>
                <w:b/>
                <w:sz w:val="28"/>
                <w:szCs w:val="28"/>
              </w:rPr>
            </w:pPr>
            <w:r>
              <w:rPr>
                <w:b/>
                <w:sz w:val="28"/>
                <w:szCs w:val="28"/>
              </w:rPr>
              <w:t>% od ukupnog br. dobitnika</w:t>
            </w:r>
          </w:p>
        </w:tc>
        <w:tc>
          <w:tcPr>
            <w:tcW w:w="2355" w:type="dxa"/>
            <w:shd w:val="clear" w:color="auto" w:fill="auto"/>
            <w:tcMar>
              <w:top w:w="100" w:type="dxa"/>
              <w:left w:w="100" w:type="dxa"/>
              <w:bottom w:w="100" w:type="dxa"/>
              <w:right w:w="100" w:type="dxa"/>
            </w:tcMar>
          </w:tcPr>
          <w:p w14:paraId="0378D9B7" w14:textId="77777777" w:rsidR="00A45440" w:rsidRDefault="00A45440" w:rsidP="00C312B2">
            <w:pPr>
              <w:widowControl w:val="0"/>
              <w:rPr>
                <w:b/>
                <w:sz w:val="28"/>
                <w:szCs w:val="28"/>
              </w:rPr>
            </w:pPr>
            <w:r>
              <w:rPr>
                <w:b/>
                <w:sz w:val="28"/>
                <w:szCs w:val="28"/>
              </w:rPr>
              <w:t>Dobijena sredstva</w:t>
            </w:r>
          </w:p>
          <w:p w14:paraId="4E44E67F" w14:textId="77777777" w:rsidR="00A45440" w:rsidRDefault="00A45440" w:rsidP="00C312B2">
            <w:pPr>
              <w:widowControl w:val="0"/>
              <w:rPr>
                <w:b/>
                <w:sz w:val="28"/>
                <w:szCs w:val="28"/>
              </w:rPr>
            </w:pPr>
            <w:r>
              <w:rPr>
                <w:b/>
                <w:sz w:val="28"/>
                <w:szCs w:val="28"/>
              </w:rPr>
              <w:t>u dinarima</w:t>
            </w:r>
          </w:p>
        </w:tc>
        <w:tc>
          <w:tcPr>
            <w:tcW w:w="1590" w:type="dxa"/>
            <w:shd w:val="clear" w:color="auto" w:fill="auto"/>
            <w:tcMar>
              <w:top w:w="100" w:type="dxa"/>
              <w:left w:w="100" w:type="dxa"/>
              <w:bottom w:w="100" w:type="dxa"/>
              <w:right w:w="100" w:type="dxa"/>
            </w:tcMar>
          </w:tcPr>
          <w:p w14:paraId="444B65A3" w14:textId="77777777" w:rsidR="00A45440" w:rsidRDefault="00A45440" w:rsidP="00C312B2">
            <w:pPr>
              <w:widowControl w:val="0"/>
              <w:rPr>
                <w:b/>
                <w:sz w:val="28"/>
                <w:szCs w:val="28"/>
              </w:rPr>
            </w:pPr>
            <w:r>
              <w:rPr>
                <w:b/>
                <w:sz w:val="28"/>
                <w:szCs w:val="28"/>
              </w:rPr>
              <w:t>% od ukupnog</w:t>
            </w:r>
          </w:p>
          <w:p w14:paraId="1B86ED57" w14:textId="77777777" w:rsidR="00A45440" w:rsidRDefault="00A45440" w:rsidP="00C312B2">
            <w:pPr>
              <w:widowControl w:val="0"/>
              <w:rPr>
                <w:b/>
                <w:sz w:val="40"/>
                <w:szCs w:val="40"/>
              </w:rPr>
            </w:pPr>
            <w:r>
              <w:rPr>
                <w:b/>
                <w:sz w:val="28"/>
                <w:szCs w:val="28"/>
              </w:rPr>
              <w:t xml:space="preserve">budžeta </w:t>
            </w:r>
          </w:p>
        </w:tc>
      </w:tr>
      <w:tr w:rsidR="00A45440" w14:paraId="19CD408E" w14:textId="77777777" w:rsidTr="00C312B2">
        <w:tc>
          <w:tcPr>
            <w:tcW w:w="2295" w:type="dxa"/>
            <w:shd w:val="clear" w:color="auto" w:fill="auto"/>
            <w:tcMar>
              <w:top w:w="100" w:type="dxa"/>
              <w:left w:w="100" w:type="dxa"/>
              <w:bottom w:w="100" w:type="dxa"/>
              <w:right w:w="100" w:type="dxa"/>
            </w:tcMar>
          </w:tcPr>
          <w:p w14:paraId="570C7F80" w14:textId="77777777" w:rsidR="00A45440" w:rsidRPr="008466D3" w:rsidRDefault="00A45440" w:rsidP="00C312B2">
            <w:pPr>
              <w:widowControl w:val="0"/>
            </w:pPr>
            <w:r w:rsidRPr="008466D3">
              <w:t>Beograd</w:t>
            </w:r>
          </w:p>
        </w:tc>
        <w:tc>
          <w:tcPr>
            <w:tcW w:w="1455" w:type="dxa"/>
            <w:shd w:val="clear" w:color="auto" w:fill="auto"/>
            <w:tcMar>
              <w:top w:w="100" w:type="dxa"/>
              <w:left w:w="100" w:type="dxa"/>
              <w:bottom w:w="100" w:type="dxa"/>
              <w:right w:w="100" w:type="dxa"/>
            </w:tcMar>
          </w:tcPr>
          <w:p w14:paraId="158436E2" w14:textId="77777777" w:rsidR="00A45440" w:rsidRPr="008466D3" w:rsidRDefault="00A45440" w:rsidP="00C312B2">
            <w:pPr>
              <w:widowControl w:val="0"/>
            </w:pPr>
            <w:r w:rsidRPr="008466D3">
              <w:t>21</w:t>
            </w:r>
          </w:p>
        </w:tc>
        <w:tc>
          <w:tcPr>
            <w:tcW w:w="1665" w:type="dxa"/>
            <w:shd w:val="clear" w:color="auto" w:fill="auto"/>
            <w:tcMar>
              <w:top w:w="100" w:type="dxa"/>
              <w:left w:w="100" w:type="dxa"/>
              <w:bottom w:w="100" w:type="dxa"/>
              <w:right w:w="100" w:type="dxa"/>
            </w:tcMar>
          </w:tcPr>
          <w:p w14:paraId="0C3A265D" w14:textId="77777777" w:rsidR="00A45440" w:rsidRPr="008466D3" w:rsidRDefault="00A45440" w:rsidP="00C312B2">
            <w:pPr>
              <w:widowControl w:val="0"/>
            </w:pPr>
            <w:r w:rsidRPr="008466D3">
              <w:t>60%</w:t>
            </w:r>
          </w:p>
        </w:tc>
        <w:tc>
          <w:tcPr>
            <w:tcW w:w="2355" w:type="dxa"/>
            <w:shd w:val="clear" w:color="auto" w:fill="auto"/>
            <w:tcMar>
              <w:top w:w="100" w:type="dxa"/>
              <w:left w:w="100" w:type="dxa"/>
              <w:bottom w:w="100" w:type="dxa"/>
              <w:right w:w="100" w:type="dxa"/>
            </w:tcMar>
          </w:tcPr>
          <w:p w14:paraId="2DDE8259" w14:textId="77777777" w:rsidR="00A45440" w:rsidRPr="008466D3" w:rsidRDefault="00A45440" w:rsidP="00C312B2">
            <w:pPr>
              <w:widowControl w:val="0"/>
            </w:pPr>
            <w:r w:rsidRPr="008466D3">
              <w:t>55.616.240</w:t>
            </w:r>
          </w:p>
        </w:tc>
        <w:tc>
          <w:tcPr>
            <w:tcW w:w="1590" w:type="dxa"/>
            <w:shd w:val="clear" w:color="auto" w:fill="auto"/>
            <w:tcMar>
              <w:top w:w="100" w:type="dxa"/>
              <w:left w:w="100" w:type="dxa"/>
              <w:bottom w:w="100" w:type="dxa"/>
              <w:right w:w="100" w:type="dxa"/>
            </w:tcMar>
          </w:tcPr>
          <w:p w14:paraId="4C3B4B86" w14:textId="77777777" w:rsidR="00A45440" w:rsidRPr="008466D3" w:rsidRDefault="00A45440" w:rsidP="00C312B2">
            <w:pPr>
              <w:widowControl w:val="0"/>
            </w:pPr>
            <w:r w:rsidRPr="008466D3">
              <w:t>71.30%</w:t>
            </w:r>
          </w:p>
        </w:tc>
      </w:tr>
      <w:tr w:rsidR="00A45440" w14:paraId="29D481AC" w14:textId="77777777" w:rsidTr="00C312B2">
        <w:tc>
          <w:tcPr>
            <w:tcW w:w="2295" w:type="dxa"/>
            <w:shd w:val="clear" w:color="auto" w:fill="auto"/>
            <w:tcMar>
              <w:top w:w="100" w:type="dxa"/>
              <w:left w:w="100" w:type="dxa"/>
              <w:bottom w:w="100" w:type="dxa"/>
              <w:right w:w="100" w:type="dxa"/>
            </w:tcMar>
          </w:tcPr>
          <w:p w14:paraId="72323823" w14:textId="77777777" w:rsidR="00A45440" w:rsidRPr="008466D3" w:rsidRDefault="00A45440" w:rsidP="00C312B2">
            <w:pPr>
              <w:widowControl w:val="0"/>
            </w:pPr>
            <w:r w:rsidRPr="008466D3">
              <w:t>Kikinda</w:t>
            </w:r>
          </w:p>
        </w:tc>
        <w:tc>
          <w:tcPr>
            <w:tcW w:w="1455" w:type="dxa"/>
            <w:shd w:val="clear" w:color="auto" w:fill="auto"/>
            <w:tcMar>
              <w:top w:w="100" w:type="dxa"/>
              <w:left w:w="100" w:type="dxa"/>
              <w:bottom w:w="100" w:type="dxa"/>
              <w:right w:w="100" w:type="dxa"/>
            </w:tcMar>
          </w:tcPr>
          <w:p w14:paraId="0BA08B88"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29159AC7"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3CDF8AE0" w14:textId="77777777" w:rsidR="00A45440" w:rsidRPr="008466D3" w:rsidRDefault="00A45440" w:rsidP="00C312B2">
            <w:pPr>
              <w:widowControl w:val="0"/>
            </w:pPr>
            <w:r w:rsidRPr="008466D3">
              <w:t>4.807.500</w:t>
            </w:r>
          </w:p>
        </w:tc>
        <w:tc>
          <w:tcPr>
            <w:tcW w:w="1590" w:type="dxa"/>
            <w:shd w:val="clear" w:color="auto" w:fill="auto"/>
            <w:tcMar>
              <w:top w:w="100" w:type="dxa"/>
              <w:left w:w="100" w:type="dxa"/>
              <w:bottom w:w="100" w:type="dxa"/>
              <w:right w:w="100" w:type="dxa"/>
            </w:tcMar>
          </w:tcPr>
          <w:p w14:paraId="66DF9142" w14:textId="77777777" w:rsidR="00A45440" w:rsidRPr="008466D3" w:rsidRDefault="00A45440" w:rsidP="00C312B2">
            <w:pPr>
              <w:widowControl w:val="0"/>
            </w:pPr>
            <w:r w:rsidRPr="008466D3">
              <w:t>6.16%</w:t>
            </w:r>
          </w:p>
        </w:tc>
      </w:tr>
      <w:tr w:rsidR="00A45440" w14:paraId="06A935D8" w14:textId="77777777" w:rsidTr="00C312B2">
        <w:tc>
          <w:tcPr>
            <w:tcW w:w="2295" w:type="dxa"/>
            <w:tcMar>
              <w:top w:w="100" w:type="dxa"/>
              <w:left w:w="100" w:type="dxa"/>
              <w:bottom w:w="100" w:type="dxa"/>
              <w:right w:w="100" w:type="dxa"/>
            </w:tcMar>
          </w:tcPr>
          <w:p w14:paraId="587F5E27" w14:textId="77777777" w:rsidR="00A45440" w:rsidRPr="008466D3" w:rsidRDefault="00A45440" w:rsidP="00C312B2">
            <w:pPr>
              <w:widowControl w:val="0"/>
            </w:pPr>
            <w:r w:rsidRPr="008466D3">
              <w:t xml:space="preserve">Novi Sad </w:t>
            </w:r>
          </w:p>
        </w:tc>
        <w:tc>
          <w:tcPr>
            <w:tcW w:w="1455" w:type="dxa"/>
            <w:tcMar>
              <w:top w:w="100" w:type="dxa"/>
              <w:left w:w="100" w:type="dxa"/>
              <w:bottom w:w="100" w:type="dxa"/>
              <w:right w:w="100" w:type="dxa"/>
            </w:tcMar>
          </w:tcPr>
          <w:p w14:paraId="294BE0A0" w14:textId="77777777" w:rsidR="00A45440" w:rsidRPr="008466D3" w:rsidRDefault="00A45440" w:rsidP="00C312B2">
            <w:pPr>
              <w:widowControl w:val="0"/>
            </w:pPr>
            <w:r w:rsidRPr="008466D3">
              <w:t>4</w:t>
            </w:r>
          </w:p>
        </w:tc>
        <w:tc>
          <w:tcPr>
            <w:tcW w:w="1665" w:type="dxa"/>
            <w:tcMar>
              <w:top w:w="100" w:type="dxa"/>
              <w:left w:w="100" w:type="dxa"/>
              <w:bottom w:w="100" w:type="dxa"/>
              <w:right w:w="100" w:type="dxa"/>
            </w:tcMar>
          </w:tcPr>
          <w:p w14:paraId="5EF52786" w14:textId="77777777" w:rsidR="00A45440" w:rsidRPr="008466D3" w:rsidRDefault="00A45440" w:rsidP="00C312B2">
            <w:pPr>
              <w:widowControl w:val="0"/>
            </w:pPr>
            <w:r w:rsidRPr="008466D3">
              <w:t>11.43%</w:t>
            </w:r>
          </w:p>
        </w:tc>
        <w:tc>
          <w:tcPr>
            <w:tcW w:w="2355" w:type="dxa"/>
            <w:tcMar>
              <w:top w:w="100" w:type="dxa"/>
              <w:left w:w="100" w:type="dxa"/>
              <w:bottom w:w="100" w:type="dxa"/>
              <w:right w:w="100" w:type="dxa"/>
            </w:tcMar>
          </w:tcPr>
          <w:p w14:paraId="7DFA31DE" w14:textId="77777777" w:rsidR="00A45440" w:rsidRPr="008466D3" w:rsidRDefault="00A45440" w:rsidP="00C312B2">
            <w:pPr>
              <w:widowControl w:val="0"/>
            </w:pPr>
            <w:r w:rsidRPr="008466D3">
              <w:t>4,543,395</w:t>
            </w:r>
          </w:p>
        </w:tc>
        <w:tc>
          <w:tcPr>
            <w:tcW w:w="1590" w:type="dxa"/>
            <w:tcMar>
              <w:top w:w="100" w:type="dxa"/>
              <w:left w:w="100" w:type="dxa"/>
              <w:bottom w:w="100" w:type="dxa"/>
              <w:right w:w="100" w:type="dxa"/>
            </w:tcMar>
          </w:tcPr>
          <w:p w14:paraId="02580AF6" w14:textId="77777777" w:rsidR="00A45440" w:rsidRPr="008466D3" w:rsidRDefault="00A45440" w:rsidP="00C312B2">
            <w:pPr>
              <w:widowControl w:val="0"/>
            </w:pPr>
            <w:r w:rsidRPr="008466D3">
              <w:t>5.90%</w:t>
            </w:r>
          </w:p>
        </w:tc>
      </w:tr>
      <w:tr w:rsidR="00A45440" w14:paraId="3C7305F5" w14:textId="77777777" w:rsidTr="00C312B2">
        <w:tc>
          <w:tcPr>
            <w:tcW w:w="2295" w:type="dxa"/>
            <w:shd w:val="clear" w:color="auto" w:fill="auto"/>
            <w:tcMar>
              <w:top w:w="100" w:type="dxa"/>
              <w:left w:w="100" w:type="dxa"/>
              <w:bottom w:w="100" w:type="dxa"/>
              <w:right w:w="100" w:type="dxa"/>
            </w:tcMar>
          </w:tcPr>
          <w:p w14:paraId="248354F9" w14:textId="77777777" w:rsidR="00A45440" w:rsidRPr="008466D3" w:rsidRDefault="00A45440" w:rsidP="00C312B2">
            <w:pPr>
              <w:widowControl w:val="0"/>
            </w:pPr>
            <w:r w:rsidRPr="008466D3">
              <w:t>Kosovska Mitrovica</w:t>
            </w:r>
          </w:p>
        </w:tc>
        <w:tc>
          <w:tcPr>
            <w:tcW w:w="1455" w:type="dxa"/>
            <w:shd w:val="clear" w:color="auto" w:fill="auto"/>
            <w:tcMar>
              <w:top w:w="100" w:type="dxa"/>
              <w:left w:w="100" w:type="dxa"/>
              <w:bottom w:w="100" w:type="dxa"/>
              <w:right w:w="100" w:type="dxa"/>
            </w:tcMar>
          </w:tcPr>
          <w:p w14:paraId="5D5F9316" w14:textId="77777777" w:rsidR="00A45440" w:rsidRPr="008466D3" w:rsidRDefault="00A45440" w:rsidP="00C312B2">
            <w:pPr>
              <w:widowControl w:val="0"/>
            </w:pPr>
            <w:r w:rsidRPr="008466D3">
              <w:t>2</w:t>
            </w:r>
          </w:p>
        </w:tc>
        <w:tc>
          <w:tcPr>
            <w:tcW w:w="1665" w:type="dxa"/>
            <w:shd w:val="clear" w:color="auto" w:fill="auto"/>
            <w:tcMar>
              <w:top w:w="100" w:type="dxa"/>
              <w:left w:w="100" w:type="dxa"/>
              <w:bottom w:w="100" w:type="dxa"/>
              <w:right w:w="100" w:type="dxa"/>
            </w:tcMar>
          </w:tcPr>
          <w:p w14:paraId="369A9E41" w14:textId="77777777" w:rsidR="00A45440" w:rsidRPr="008466D3" w:rsidRDefault="00A45440" w:rsidP="00C312B2">
            <w:pPr>
              <w:widowControl w:val="0"/>
            </w:pPr>
            <w:r w:rsidRPr="008466D3">
              <w:t>5.71%</w:t>
            </w:r>
          </w:p>
        </w:tc>
        <w:tc>
          <w:tcPr>
            <w:tcW w:w="2355" w:type="dxa"/>
            <w:shd w:val="clear" w:color="auto" w:fill="auto"/>
            <w:tcMar>
              <w:top w:w="100" w:type="dxa"/>
              <w:left w:w="100" w:type="dxa"/>
              <w:bottom w:w="100" w:type="dxa"/>
              <w:right w:w="100" w:type="dxa"/>
            </w:tcMar>
          </w:tcPr>
          <w:p w14:paraId="64B5EAF1" w14:textId="77777777" w:rsidR="00A45440" w:rsidRPr="008466D3" w:rsidRDefault="00A45440" w:rsidP="00C312B2">
            <w:pPr>
              <w:widowControl w:val="0"/>
            </w:pPr>
            <w:r w:rsidRPr="008466D3">
              <w:t>3.405.000</w:t>
            </w:r>
          </w:p>
        </w:tc>
        <w:tc>
          <w:tcPr>
            <w:tcW w:w="1590" w:type="dxa"/>
            <w:shd w:val="clear" w:color="auto" w:fill="auto"/>
            <w:tcMar>
              <w:top w:w="100" w:type="dxa"/>
              <w:left w:w="100" w:type="dxa"/>
              <w:bottom w:w="100" w:type="dxa"/>
              <w:right w:w="100" w:type="dxa"/>
            </w:tcMar>
          </w:tcPr>
          <w:p w14:paraId="32031CC2" w14:textId="77777777" w:rsidR="00A45440" w:rsidRPr="008466D3" w:rsidRDefault="00A45440" w:rsidP="00C312B2">
            <w:pPr>
              <w:widowControl w:val="0"/>
            </w:pPr>
            <w:r w:rsidRPr="008466D3">
              <w:t>4.37%</w:t>
            </w:r>
          </w:p>
        </w:tc>
      </w:tr>
      <w:tr w:rsidR="00A45440" w14:paraId="6851BC34" w14:textId="77777777" w:rsidTr="00C312B2">
        <w:tc>
          <w:tcPr>
            <w:tcW w:w="2295" w:type="dxa"/>
            <w:shd w:val="clear" w:color="auto" w:fill="auto"/>
            <w:tcMar>
              <w:top w:w="100" w:type="dxa"/>
              <w:left w:w="100" w:type="dxa"/>
              <w:bottom w:w="100" w:type="dxa"/>
              <w:right w:w="100" w:type="dxa"/>
            </w:tcMar>
          </w:tcPr>
          <w:p w14:paraId="23B86CC9" w14:textId="77777777" w:rsidR="00A45440" w:rsidRPr="008466D3" w:rsidRDefault="00A45440" w:rsidP="00C312B2">
            <w:pPr>
              <w:widowControl w:val="0"/>
            </w:pPr>
            <w:r w:rsidRPr="008466D3">
              <w:t>Bečej</w:t>
            </w:r>
          </w:p>
        </w:tc>
        <w:tc>
          <w:tcPr>
            <w:tcW w:w="1455" w:type="dxa"/>
            <w:shd w:val="clear" w:color="auto" w:fill="auto"/>
            <w:tcMar>
              <w:top w:w="100" w:type="dxa"/>
              <w:left w:w="100" w:type="dxa"/>
              <w:bottom w:w="100" w:type="dxa"/>
              <w:right w:w="100" w:type="dxa"/>
            </w:tcMar>
          </w:tcPr>
          <w:p w14:paraId="75321A42"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1E263B82"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3BC5A280" w14:textId="77777777" w:rsidR="00A45440" w:rsidRPr="008466D3" w:rsidRDefault="00A45440" w:rsidP="00C312B2">
            <w:pPr>
              <w:widowControl w:val="0"/>
            </w:pPr>
            <w:r w:rsidRPr="008466D3">
              <w:t>2.300.000</w:t>
            </w:r>
          </w:p>
        </w:tc>
        <w:tc>
          <w:tcPr>
            <w:tcW w:w="1590" w:type="dxa"/>
            <w:shd w:val="clear" w:color="auto" w:fill="auto"/>
            <w:tcMar>
              <w:top w:w="100" w:type="dxa"/>
              <w:left w:w="100" w:type="dxa"/>
              <w:bottom w:w="100" w:type="dxa"/>
              <w:right w:w="100" w:type="dxa"/>
            </w:tcMar>
          </w:tcPr>
          <w:p w14:paraId="27F7CBCA" w14:textId="77777777" w:rsidR="00A45440" w:rsidRPr="008466D3" w:rsidRDefault="00A45440" w:rsidP="00C312B2">
            <w:pPr>
              <w:widowControl w:val="0"/>
            </w:pPr>
            <w:r w:rsidRPr="008466D3">
              <w:t>2.95%</w:t>
            </w:r>
          </w:p>
        </w:tc>
      </w:tr>
      <w:tr w:rsidR="00A45440" w14:paraId="793045AF" w14:textId="77777777" w:rsidTr="00C312B2">
        <w:tc>
          <w:tcPr>
            <w:tcW w:w="2295" w:type="dxa"/>
            <w:shd w:val="clear" w:color="auto" w:fill="auto"/>
            <w:tcMar>
              <w:top w:w="100" w:type="dxa"/>
              <w:left w:w="100" w:type="dxa"/>
              <w:bottom w:w="100" w:type="dxa"/>
              <w:right w:w="100" w:type="dxa"/>
            </w:tcMar>
          </w:tcPr>
          <w:p w14:paraId="22ADFD18" w14:textId="77777777" w:rsidR="00A45440" w:rsidRPr="008466D3" w:rsidRDefault="00A45440" w:rsidP="00C312B2">
            <w:pPr>
              <w:widowControl w:val="0"/>
            </w:pPr>
            <w:r w:rsidRPr="008466D3">
              <w:t>Irig</w:t>
            </w:r>
          </w:p>
        </w:tc>
        <w:tc>
          <w:tcPr>
            <w:tcW w:w="1455" w:type="dxa"/>
            <w:shd w:val="clear" w:color="auto" w:fill="auto"/>
            <w:tcMar>
              <w:top w:w="100" w:type="dxa"/>
              <w:left w:w="100" w:type="dxa"/>
              <w:bottom w:w="100" w:type="dxa"/>
              <w:right w:w="100" w:type="dxa"/>
            </w:tcMar>
          </w:tcPr>
          <w:p w14:paraId="07D35245"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5107DEA8"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35F5B8B6" w14:textId="77777777" w:rsidR="00A45440" w:rsidRPr="008466D3" w:rsidRDefault="00A45440" w:rsidP="00C312B2">
            <w:pPr>
              <w:widowControl w:val="0"/>
            </w:pPr>
            <w:r w:rsidRPr="008466D3">
              <w:t>1.770.600</w:t>
            </w:r>
          </w:p>
        </w:tc>
        <w:tc>
          <w:tcPr>
            <w:tcW w:w="1590" w:type="dxa"/>
            <w:shd w:val="clear" w:color="auto" w:fill="auto"/>
            <w:tcMar>
              <w:top w:w="100" w:type="dxa"/>
              <w:left w:w="100" w:type="dxa"/>
              <w:bottom w:w="100" w:type="dxa"/>
              <w:right w:w="100" w:type="dxa"/>
            </w:tcMar>
          </w:tcPr>
          <w:p w14:paraId="2EBBE440" w14:textId="77777777" w:rsidR="00A45440" w:rsidRPr="008466D3" w:rsidRDefault="00A45440" w:rsidP="00C312B2">
            <w:pPr>
              <w:widowControl w:val="0"/>
            </w:pPr>
            <w:r w:rsidRPr="008466D3">
              <w:t>2.27%</w:t>
            </w:r>
          </w:p>
        </w:tc>
      </w:tr>
      <w:tr w:rsidR="00A45440" w14:paraId="58872777" w14:textId="77777777" w:rsidTr="00C312B2">
        <w:tc>
          <w:tcPr>
            <w:tcW w:w="2295" w:type="dxa"/>
            <w:shd w:val="clear" w:color="auto" w:fill="auto"/>
            <w:tcMar>
              <w:top w:w="100" w:type="dxa"/>
              <w:left w:w="100" w:type="dxa"/>
              <w:bottom w:w="100" w:type="dxa"/>
              <w:right w:w="100" w:type="dxa"/>
            </w:tcMar>
          </w:tcPr>
          <w:p w14:paraId="4BEE53FE" w14:textId="77777777" w:rsidR="00A45440" w:rsidRPr="008466D3" w:rsidRDefault="00A45440" w:rsidP="00C312B2">
            <w:pPr>
              <w:widowControl w:val="0"/>
            </w:pPr>
            <w:r w:rsidRPr="008466D3">
              <w:t>Bujanovac</w:t>
            </w:r>
          </w:p>
        </w:tc>
        <w:tc>
          <w:tcPr>
            <w:tcW w:w="1455" w:type="dxa"/>
            <w:shd w:val="clear" w:color="auto" w:fill="auto"/>
            <w:tcMar>
              <w:top w:w="100" w:type="dxa"/>
              <w:left w:w="100" w:type="dxa"/>
              <w:bottom w:w="100" w:type="dxa"/>
              <w:right w:w="100" w:type="dxa"/>
            </w:tcMar>
          </w:tcPr>
          <w:p w14:paraId="11191636"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0A75CE6B"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647C8635" w14:textId="77777777" w:rsidR="00A45440" w:rsidRPr="008466D3" w:rsidRDefault="00A45440" w:rsidP="00C312B2">
            <w:pPr>
              <w:widowControl w:val="0"/>
            </w:pPr>
            <w:r w:rsidRPr="008466D3">
              <w:t>1.719.000</w:t>
            </w:r>
          </w:p>
        </w:tc>
        <w:tc>
          <w:tcPr>
            <w:tcW w:w="1590" w:type="dxa"/>
            <w:shd w:val="clear" w:color="auto" w:fill="auto"/>
            <w:tcMar>
              <w:top w:w="100" w:type="dxa"/>
              <w:left w:w="100" w:type="dxa"/>
              <w:bottom w:w="100" w:type="dxa"/>
              <w:right w:w="100" w:type="dxa"/>
            </w:tcMar>
          </w:tcPr>
          <w:p w14:paraId="183586F5" w14:textId="77777777" w:rsidR="00A45440" w:rsidRPr="008466D3" w:rsidRDefault="00A45440" w:rsidP="00C312B2">
            <w:pPr>
              <w:widowControl w:val="0"/>
            </w:pPr>
            <w:r w:rsidRPr="008466D3">
              <w:t>2.20%</w:t>
            </w:r>
          </w:p>
        </w:tc>
      </w:tr>
      <w:tr w:rsidR="00A45440" w14:paraId="79057B25" w14:textId="77777777" w:rsidTr="00C312B2">
        <w:tc>
          <w:tcPr>
            <w:tcW w:w="2295" w:type="dxa"/>
            <w:shd w:val="clear" w:color="auto" w:fill="auto"/>
            <w:tcMar>
              <w:top w:w="100" w:type="dxa"/>
              <w:left w:w="100" w:type="dxa"/>
              <w:bottom w:w="100" w:type="dxa"/>
              <w:right w:w="100" w:type="dxa"/>
            </w:tcMar>
          </w:tcPr>
          <w:p w14:paraId="5401DE7D" w14:textId="77777777" w:rsidR="00A45440" w:rsidRPr="008466D3" w:rsidRDefault="00A45440" w:rsidP="00C312B2">
            <w:pPr>
              <w:widowControl w:val="0"/>
            </w:pPr>
            <w:r w:rsidRPr="008466D3">
              <w:t>Niš</w:t>
            </w:r>
          </w:p>
        </w:tc>
        <w:tc>
          <w:tcPr>
            <w:tcW w:w="1455" w:type="dxa"/>
            <w:shd w:val="clear" w:color="auto" w:fill="auto"/>
            <w:tcMar>
              <w:top w:w="100" w:type="dxa"/>
              <w:left w:w="100" w:type="dxa"/>
              <w:bottom w:w="100" w:type="dxa"/>
              <w:right w:w="100" w:type="dxa"/>
            </w:tcMar>
          </w:tcPr>
          <w:p w14:paraId="66C14E94"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20F0768F"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440109EA" w14:textId="77777777" w:rsidR="00A45440" w:rsidRPr="008466D3" w:rsidRDefault="00A45440" w:rsidP="00C312B2">
            <w:pPr>
              <w:widowControl w:val="0"/>
            </w:pPr>
            <w:r w:rsidRPr="008466D3">
              <w:t>1.700.000</w:t>
            </w:r>
          </w:p>
        </w:tc>
        <w:tc>
          <w:tcPr>
            <w:tcW w:w="1590" w:type="dxa"/>
            <w:shd w:val="clear" w:color="auto" w:fill="auto"/>
            <w:tcMar>
              <w:top w:w="100" w:type="dxa"/>
              <w:left w:w="100" w:type="dxa"/>
              <w:bottom w:w="100" w:type="dxa"/>
              <w:right w:w="100" w:type="dxa"/>
            </w:tcMar>
          </w:tcPr>
          <w:p w14:paraId="76E63829" w14:textId="77777777" w:rsidR="00A45440" w:rsidRPr="008466D3" w:rsidRDefault="00A45440" w:rsidP="00C312B2">
            <w:pPr>
              <w:widowControl w:val="0"/>
            </w:pPr>
            <w:r w:rsidRPr="008466D3">
              <w:t>2.18%</w:t>
            </w:r>
          </w:p>
        </w:tc>
      </w:tr>
      <w:tr w:rsidR="00A45440" w14:paraId="2BE92619" w14:textId="77777777" w:rsidTr="00C312B2">
        <w:tc>
          <w:tcPr>
            <w:tcW w:w="2295" w:type="dxa"/>
            <w:shd w:val="clear" w:color="auto" w:fill="auto"/>
            <w:tcMar>
              <w:top w:w="100" w:type="dxa"/>
              <w:left w:w="100" w:type="dxa"/>
              <w:bottom w:w="100" w:type="dxa"/>
              <w:right w:w="100" w:type="dxa"/>
            </w:tcMar>
          </w:tcPr>
          <w:p w14:paraId="62523D31" w14:textId="77777777" w:rsidR="00A45440" w:rsidRPr="008466D3" w:rsidRDefault="00A45440" w:rsidP="00C312B2">
            <w:pPr>
              <w:widowControl w:val="0"/>
            </w:pPr>
            <w:r w:rsidRPr="008466D3">
              <w:t>Velika Plana</w:t>
            </w:r>
          </w:p>
        </w:tc>
        <w:tc>
          <w:tcPr>
            <w:tcW w:w="1455" w:type="dxa"/>
            <w:shd w:val="clear" w:color="auto" w:fill="auto"/>
            <w:tcMar>
              <w:top w:w="100" w:type="dxa"/>
              <w:left w:w="100" w:type="dxa"/>
              <w:bottom w:w="100" w:type="dxa"/>
              <w:right w:w="100" w:type="dxa"/>
            </w:tcMar>
          </w:tcPr>
          <w:p w14:paraId="0802594B"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5D285994"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7001599B" w14:textId="77777777" w:rsidR="00A45440" w:rsidRPr="008466D3" w:rsidRDefault="00A45440" w:rsidP="00C312B2">
            <w:pPr>
              <w:widowControl w:val="0"/>
            </w:pPr>
            <w:r w:rsidRPr="008466D3">
              <w:t>1.349.700</w:t>
            </w:r>
          </w:p>
        </w:tc>
        <w:tc>
          <w:tcPr>
            <w:tcW w:w="1590" w:type="dxa"/>
            <w:shd w:val="clear" w:color="auto" w:fill="auto"/>
            <w:tcMar>
              <w:top w:w="100" w:type="dxa"/>
              <w:left w:w="100" w:type="dxa"/>
              <w:bottom w:w="100" w:type="dxa"/>
              <w:right w:w="100" w:type="dxa"/>
            </w:tcMar>
          </w:tcPr>
          <w:p w14:paraId="7ED77D26" w14:textId="77777777" w:rsidR="00A45440" w:rsidRPr="008466D3" w:rsidRDefault="00A45440" w:rsidP="00C312B2">
            <w:pPr>
              <w:widowControl w:val="0"/>
            </w:pPr>
            <w:r w:rsidRPr="008466D3">
              <w:t>1.73%</w:t>
            </w:r>
          </w:p>
        </w:tc>
      </w:tr>
      <w:tr w:rsidR="00A45440" w14:paraId="6BF7A534" w14:textId="77777777" w:rsidTr="00C312B2">
        <w:tc>
          <w:tcPr>
            <w:tcW w:w="2295" w:type="dxa"/>
            <w:shd w:val="clear" w:color="auto" w:fill="auto"/>
            <w:tcMar>
              <w:top w:w="100" w:type="dxa"/>
              <w:left w:w="100" w:type="dxa"/>
              <w:bottom w:w="100" w:type="dxa"/>
              <w:right w:w="100" w:type="dxa"/>
            </w:tcMar>
          </w:tcPr>
          <w:p w14:paraId="2A675A56" w14:textId="77777777" w:rsidR="00A45440" w:rsidRPr="008466D3" w:rsidRDefault="00A45440" w:rsidP="00C312B2">
            <w:pPr>
              <w:widowControl w:val="0"/>
            </w:pPr>
            <w:r w:rsidRPr="008466D3">
              <w:t>Zrenjanin</w:t>
            </w:r>
          </w:p>
        </w:tc>
        <w:tc>
          <w:tcPr>
            <w:tcW w:w="1455" w:type="dxa"/>
            <w:shd w:val="clear" w:color="auto" w:fill="auto"/>
            <w:tcMar>
              <w:top w:w="100" w:type="dxa"/>
              <w:left w:w="100" w:type="dxa"/>
              <w:bottom w:w="100" w:type="dxa"/>
              <w:right w:w="100" w:type="dxa"/>
            </w:tcMar>
          </w:tcPr>
          <w:p w14:paraId="5A015322"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7FDF1A89"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2D09FC25" w14:textId="77777777" w:rsidR="00A45440" w:rsidRPr="008466D3" w:rsidRDefault="00A45440" w:rsidP="00C312B2">
            <w:pPr>
              <w:widowControl w:val="0"/>
            </w:pPr>
            <w:r w:rsidRPr="008466D3">
              <w:t>400.000</w:t>
            </w:r>
          </w:p>
        </w:tc>
        <w:tc>
          <w:tcPr>
            <w:tcW w:w="1590" w:type="dxa"/>
            <w:shd w:val="clear" w:color="auto" w:fill="auto"/>
            <w:tcMar>
              <w:top w:w="100" w:type="dxa"/>
              <w:left w:w="100" w:type="dxa"/>
              <w:bottom w:w="100" w:type="dxa"/>
              <w:right w:w="100" w:type="dxa"/>
            </w:tcMar>
          </w:tcPr>
          <w:p w14:paraId="731AF360" w14:textId="77777777" w:rsidR="00A45440" w:rsidRPr="008466D3" w:rsidRDefault="00A45440" w:rsidP="00C312B2">
            <w:pPr>
              <w:widowControl w:val="0"/>
            </w:pPr>
            <w:r w:rsidRPr="008466D3">
              <w:t>0.51%</w:t>
            </w:r>
          </w:p>
        </w:tc>
      </w:tr>
      <w:tr w:rsidR="00A45440" w14:paraId="14BF7758" w14:textId="77777777" w:rsidTr="00C312B2">
        <w:tc>
          <w:tcPr>
            <w:tcW w:w="2295" w:type="dxa"/>
            <w:shd w:val="clear" w:color="auto" w:fill="auto"/>
            <w:tcMar>
              <w:top w:w="100" w:type="dxa"/>
              <w:left w:w="100" w:type="dxa"/>
              <w:bottom w:w="100" w:type="dxa"/>
              <w:right w:w="100" w:type="dxa"/>
            </w:tcMar>
          </w:tcPr>
          <w:p w14:paraId="1689BB7F" w14:textId="77777777" w:rsidR="00A45440" w:rsidRPr="008466D3" w:rsidRDefault="00A45440" w:rsidP="00C312B2">
            <w:pPr>
              <w:widowControl w:val="0"/>
            </w:pPr>
            <w:r w:rsidRPr="008466D3">
              <w:t>Kragujevac</w:t>
            </w:r>
          </w:p>
        </w:tc>
        <w:tc>
          <w:tcPr>
            <w:tcW w:w="1455" w:type="dxa"/>
            <w:shd w:val="clear" w:color="auto" w:fill="auto"/>
            <w:tcMar>
              <w:top w:w="100" w:type="dxa"/>
              <w:left w:w="100" w:type="dxa"/>
              <w:bottom w:w="100" w:type="dxa"/>
              <w:right w:w="100" w:type="dxa"/>
            </w:tcMar>
          </w:tcPr>
          <w:p w14:paraId="3CEAB780" w14:textId="77777777" w:rsidR="00A45440" w:rsidRPr="008466D3" w:rsidRDefault="00A45440" w:rsidP="00C312B2">
            <w:pPr>
              <w:widowControl w:val="0"/>
            </w:pPr>
            <w:r w:rsidRPr="008466D3">
              <w:t>1</w:t>
            </w:r>
          </w:p>
        </w:tc>
        <w:tc>
          <w:tcPr>
            <w:tcW w:w="1665" w:type="dxa"/>
            <w:shd w:val="clear" w:color="auto" w:fill="auto"/>
            <w:tcMar>
              <w:top w:w="100" w:type="dxa"/>
              <w:left w:w="100" w:type="dxa"/>
              <w:bottom w:w="100" w:type="dxa"/>
              <w:right w:w="100" w:type="dxa"/>
            </w:tcMar>
          </w:tcPr>
          <w:p w14:paraId="138E8477" w14:textId="77777777" w:rsidR="00A45440" w:rsidRPr="008466D3" w:rsidRDefault="00A45440" w:rsidP="00C312B2">
            <w:pPr>
              <w:widowControl w:val="0"/>
            </w:pPr>
            <w:r w:rsidRPr="008466D3">
              <w:t>2,86%</w:t>
            </w:r>
          </w:p>
        </w:tc>
        <w:tc>
          <w:tcPr>
            <w:tcW w:w="2355" w:type="dxa"/>
            <w:shd w:val="clear" w:color="auto" w:fill="auto"/>
            <w:tcMar>
              <w:top w:w="100" w:type="dxa"/>
              <w:left w:w="100" w:type="dxa"/>
              <w:bottom w:w="100" w:type="dxa"/>
              <w:right w:w="100" w:type="dxa"/>
            </w:tcMar>
          </w:tcPr>
          <w:p w14:paraId="5D7C9056" w14:textId="77777777" w:rsidR="00A45440" w:rsidRPr="008466D3" w:rsidRDefault="00A45440" w:rsidP="00C312B2">
            <w:pPr>
              <w:widowControl w:val="0"/>
            </w:pPr>
            <w:r w:rsidRPr="008466D3">
              <w:t>387.500</w:t>
            </w:r>
          </w:p>
        </w:tc>
        <w:tc>
          <w:tcPr>
            <w:tcW w:w="1590" w:type="dxa"/>
            <w:shd w:val="clear" w:color="auto" w:fill="auto"/>
            <w:tcMar>
              <w:top w:w="100" w:type="dxa"/>
              <w:left w:w="100" w:type="dxa"/>
              <w:bottom w:w="100" w:type="dxa"/>
              <w:right w:w="100" w:type="dxa"/>
            </w:tcMar>
          </w:tcPr>
          <w:p w14:paraId="0EBA1B8C" w14:textId="77777777" w:rsidR="00A45440" w:rsidRPr="008466D3" w:rsidRDefault="00A45440" w:rsidP="00C312B2">
            <w:pPr>
              <w:widowControl w:val="0"/>
            </w:pPr>
            <w:r w:rsidRPr="008466D3">
              <w:t>0.50%</w:t>
            </w:r>
          </w:p>
        </w:tc>
      </w:tr>
    </w:tbl>
    <w:p w14:paraId="10522843" w14:textId="280C534F" w:rsidR="00A45440" w:rsidRDefault="00A45440" w:rsidP="00A45440">
      <w:pPr>
        <w:jc w:val="both"/>
        <w:rPr>
          <w:sz w:val="28"/>
          <w:szCs w:val="28"/>
        </w:rPr>
      </w:pPr>
    </w:p>
    <w:p w14:paraId="7BE4CF5E" w14:textId="13F448E7" w:rsidR="003B6D54" w:rsidRDefault="003B6D54" w:rsidP="00A45440">
      <w:pPr>
        <w:jc w:val="both"/>
        <w:rPr>
          <w:sz w:val="28"/>
          <w:szCs w:val="28"/>
        </w:rPr>
      </w:pPr>
    </w:p>
    <w:p w14:paraId="6BEB7D33" w14:textId="329D9DAE" w:rsidR="0078041E" w:rsidRDefault="0078041E" w:rsidP="00A45440">
      <w:pPr>
        <w:pStyle w:val="Title"/>
        <w:jc w:val="center"/>
        <w:rPr>
          <w:sz w:val="24"/>
          <w:szCs w:val="24"/>
        </w:rPr>
      </w:pPr>
      <w:bookmarkStart w:id="2" w:name="_d1d6j3oggb4n" w:colFirst="0" w:colLast="0"/>
      <w:bookmarkStart w:id="3" w:name="_f4gbygfodcin" w:colFirst="0" w:colLast="0"/>
      <w:bookmarkStart w:id="4" w:name="_dlw57ztb5w7o" w:colFirst="0" w:colLast="0"/>
      <w:bookmarkEnd w:id="2"/>
      <w:bookmarkEnd w:id="3"/>
      <w:bookmarkEnd w:id="4"/>
    </w:p>
    <w:p w14:paraId="63B6E2CB" w14:textId="7A2763A1" w:rsidR="0078041E" w:rsidRDefault="0078041E" w:rsidP="0078041E">
      <w:pPr>
        <w:rPr>
          <w:lang w:val="en"/>
        </w:rPr>
      </w:pPr>
    </w:p>
    <w:p w14:paraId="5426082E" w14:textId="77777777" w:rsidR="0078041E" w:rsidRPr="0078041E" w:rsidRDefault="0078041E" w:rsidP="0078041E">
      <w:pPr>
        <w:rPr>
          <w:lang w:val="en"/>
        </w:rPr>
      </w:pPr>
    </w:p>
    <w:p w14:paraId="360C01E1" w14:textId="5214ADBE" w:rsidR="0078041E" w:rsidRDefault="0078041E" w:rsidP="00A45440">
      <w:pPr>
        <w:pStyle w:val="Title"/>
        <w:jc w:val="center"/>
        <w:rPr>
          <w:sz w:val="24"/>
          <w:szCs w:val="24"/>
        </w:rPr>
      </w:pPr>
    </w:p>
    <w:p w14:paraId="7E5A347A" w14:textId="77777777" w:rsidR="0078041E" w:rsidRPr="0078041E" w:rsidRDefault="0078041E" w:rsidP="0078041E">
      <w:pPr>
        <w:rPr>
          <w:lang w:val="en"/>
        </w:rPr>
      </w:pPr>
    </w:p>
    <w:p w14:paraId="6CD7D6CD" w14:textId="77777777" w:rsidR="0078041E" w:rsidRDefault="0078041E" w:rsidP="00A45440">
      <w:pPr>
        <w:pStyle w:val="Title"/>
        <w:jc w:val="center"/>
        <w:rPr>
          <w:sz w:val="24"/>
          <w:szCs w:val="24"/>
        </w:rPr>
      </w:pPr>
    </w:p>
    <w:p w14:paraId="2674D08A" w14:textId="4B414EC1" w:rsidR="0078041E" w:rsidRDefault="0078041E" w:rsidP="00A45440">
      <w:pPr>
        <w:pStyle w:val="Title"/>
        <w:jc w:val="center"/>
        <w:rPr>
          <w:sz w:val="24"/>
          <w:szCs w:val="24"/>
        </w:rPr>
      </w:pPr>
    </w:p>
    <w:p w14:paraId="23772DB6" w14:textId="77777777" w:rsidR="0078041E" w:rsidRPr="0078041E" w:rsidRDefault="0078041E" w:rsidP="0078041E">
      <w:pPr>
        <w:rPr>
          <w:lang w:val="en"/>
        </w:rPr>
      </w:pPr>
    </w:p>
    <w:p w14:paraId="0B590F2E" w14:textId="77777777" w:rsidR="0078041E" w:rsidRDefault="0078041E" w:rsidP="00A45440">
      <w:pPr>
        <w:pStyle w:val="Title"/>
        <w:jc w:val="center"/>
        <w:rPr>
          <w:sz w:val="24"/>
          <w:szCs w:val="24"/>
        </w:rPr>
      </w:pPr>
    </w:p>
    <w:p w14:paraId="6F93EE63" w14:textId="0753BD9B" w:rsidR="00A45440" w:rsidRDefault="0078041E" w:rsidP="0078041E">
      <w:pPr>
        <w:pStyle w:val="Title"/>
        <w:jc w:val="center"/>
        <w:rPr>
          <w:sz w:val="24"/>
          <w:szCs w:val="24"/>
        </w:rPr>
      </w:pPr>
      <w:r>
        <w:rPr>
          <w:sz w:val="24"/>
          <w:szCs w:val="24"/>
        </w:rPr>
        <w:t>KO</w:t>
      </w:r>
      <w:r w:rsidR="00A45440">
        <w:rPr>
          <w:sz w:val="24"/>
          <w:szCs w:val="24"/>
        </w:rPr>
        <w:t>NKURS ZA STIMULISANJE RAZLIČITIH OBLIKA ZAPOŠLJAVANJA, SAMOZAPOŠLJAVANJA I PREDUZETNIŠTVA MLADIH</w:t>
      </w:r>
    </w:p>
    <w:p w14:paraId="192D3D1C" w14:textId="77777777" w:rsidR="00A45440" w:rsidRDefault="00A45440" w:rsidP="00A45440">
      <w:pPr>
        <w:pStyle w:val="Title"/>
        <w:jc w:val="center"/>
        <w:rPr>
          <w:sz w:val="24"/>
          <w:szCs w:val="24"/>
        </w:rPr>
      </w:pPr>
      <w:bookmarkStart w:id="5" w:name="_v83r3ns3olcd" w:colFirst="0" w:colLast="0"/>
      <w:bookmarkEnd w:id="5"/>
    </w:p>
    <w:p w14:paraId="778E196F" w14:textId="77777777" w:rsidR="00A45440" w:rsidRDefault="00A45440" w:rsidP="00A45440"/>
    <w:p w14:paraId="2172B55B" w14:textId="1B83AA47" w:rsidR="00A45440" w:rsidRDefault="00A45440" w:rsidP="00A45440">
      <w:pPr>
        <w:ind w:firstLine="720"/>
        <w:jc w:val="both"/>
      </w:pPr>
      <w:r>
        <w:t xml:space="preserve">Iako je poznato da je Srbija regionalno veoma neravnomerno razvijena država i da manje jedinice lokalne samouprave karakteriše visak nivo nezaposlenosti, stiče se utisak da Vlada Srbije nema dovoljno sluha za taj problem. Po završetku još jednog konkursa, kojim se ovaj put podsticalo zapošljavanje omladinskog sektora, postalo je jasno da je veliki broj mladih u Srbiji ostao nevidljiv, jer je većina sredstava otišla ponovo ka Beogradu. </w:t>
      </w:r>
    </w:p>
    <w:p w14:paraId="252838E4" w14:textId="77777777" w:rsidR="00CB301A" w:rsidRDefault="00CB301A" w:rsidP="00A45440">
      <w:pPr>
        <w:ind w:firstLine="720"/>
        <w:jc w:val="both"/>
      </w:pPr>
    </w:p>
    <w:p w14:paraId="584ACE21" w14:textId="62DF5851" w:rsidR="008466D3" w:rsidRDefault="00A45440" w:rsidP="00A45440">
      <w:pPr>
        <w:ind w:firstLine="720"/>
        <w:jc w:val="both"/>
      </w:pPr>
      <w:r>
        <w:t xml:space="preserve">U okviru </w:t>
      </w:r>
      <w:r>
        <w:rPr>
          <w:i/>
        </w:rPr>
        <w:t>Nacionalne strategije za mlade</w:t>
      </w:r>
      <w:r>
        <w:t>, Ministarstvo omladine i sporta Vlade Republike Srbije, raspisalo je konkurs za finansiranje i sufinansiranje programa i projekata od javnog interesa u oblastima omladinskog sektora koje sprovode druženja mladih, udruženja za mlade i njihovi savezi.</w:t>
      </w:r>
    </w:p>
    <w:p w14:paraId="57C751D6" w14:textId="77777777" w:rsidR="008466D3" w:rsidRDefault="008466D3" w:rsidP="00A45440">
      <w:pPr>
        <w:ind w:firstLine="720"/>
        <w:jc w:val="both"/>
      </w:pPr>
    </w:p>
    <w:p w14:paraId="5D2A11C8" w14:textId="797CAC57" w:rsidR="00A45440" w:rsidRDefault="00A45440" w:rsidP="00A45440">
      <w:pPr>
        <w:ind w:firstLine="720"/>
        <w:jc w:val="both"/>
      </w:pPr>
      <w:r>
        <w:t>Nakon razmatranja prijava, članovi komisije i ministar omladine i sporta doneli su odluku o dodeli sredstava kao i rešenje o rasporedu dela sredstava kojim je utvrđena lista projekata koji će se finansirati i visina sredstava po odobrenom projektu. Sredstva za programe i projekte po ovom konkursu u iznosu do 75.000.000,00 dinara obezbeđena su u budžetu Republike Srbije.</w:t>
      </w:r>
      <w:r>
        <w:rPr>
          <w:vertAlign w:val="superscript"/>
        </w:rPr>
        <w:footnoteReference w:id="4"/>
      </w:r>
    </w:p>
    <w:p w14:paraId="3EEC7938" w14:textId="77777777" w:rsidR="008466D3" w:rsidRDefault="008466D3" w:rsidP="00A45440">
      <w:pPr>
        <w:ind w:firstLine="720"/>
        <w:jc w:val="both"/>
      </w:pPr>
    </w:p>
    <w:p w14:paraId="31F90724" w14:textId="645F8EF1" w:rsidR="00A45440" w:rsidRDefault="00A45440" w:rsidP="00A45440">
      <w:pPr>
        <w:ind w:firstLine="720"/>
        <w:jc w:val="both"/>
      </w:pPr>
      <w:r>
        <w:t xml:space="preserve">Cilj konkursa bio je unapređenje zapošljivosti mladih žena i muškaraca kroz realizaciju aktivnosti planiranih Akcionim planom za sprovođenje </w:t>
      </w:r>
      <w:r>
        <w:rPr>
          <w:i/>
        </w:rPr>
        <w:t>Nacionalne strategije za mlade</w:t>
      </w:r>
      <w:r>
        <w:t xml:space="preserve"> za period od 2018. do 2020. godine. Na konkursu su mogla učestvovati udruženja mladih, udruženja za mlade ili njihovi savezi koji su upisani u Jedinstvenu evidenciju udruženja mladih, udruženja za mlade i njihovih saveza koju vodi Ministarstvo. </w:t>
      </w:r>
    </w:p>
    <w:p w14:paraId="40FBB22E" w14:textId="77777777" w:rsidR="008466D3" w:rsidRDefault="008466D3" w:rsidP="00A45440">
      <w:pPr>
        <w:ind w:firstLine="720"/>
        <w:jc w:val="both"/>
      </w:pPr>
    </w:p>
    <w:p w14:paraId="3993AF9E" w14:textId="12EF6781" w:rsidR="00A45440" w:rsidRDefault="00A45440" w:rsidP="00A45440">
      <w:pPr>
        <w:ind w:firstLine="720"/>
        <w:jc w:val="both"/>
      </w:pPr>
      <w:r>
        <w:t xml:space="preserve">Od ukupnog broja dobitnika (26), više od polovine dolazi iz Beograda (15). Tim udruženjima je obezbeđeno više od pola ukupnog budžeta, čak 43,351,174 dinara. Dakle, najviše novca otišlo je u Beograd (57.80 % ukupnog budžeta), zatim slede Požarevac (12,69%), Brvenik (6.35%), Sjenica (5.57%) Novi Sad sa tri podržana udruženja (4.97%), Vranje, Zaječar, Prijepolje, Kruševac i Pančevo kojima je pripalo manje od 3% budžeta. </w:t>
      </w:r>
    </w:p>
    <w:p w14:paraId="05627CB5" w14:textId="77777777" w:rsidR="008466D3" w:rsidRDefault="008466D3" w:rsidP="00A45440">
      <w:pPr>
        <w:ind w:firstLine="720"/>
        <w:jc w:val="both"/>
      </w:pPr>
    </w:p>
    <w:p w14:paraId="5CD9046F" w14:textId="2E2172AA" w:rsidR="008466D3" w:rsidRDefault="00A45440" w:rsidP="00A45440">
      <w:pPr>
        <w:ind w:firstLine="720"/>
        <w:jc w:val="both"/>
      </w:pPr>
      <w:r>
        <w:t>Na konkursu je učestvovalo 69 aplikanata. Od tog broja, udruženja sa teritorija 14 lokalnih samouprava, ostalo je bez podrške ministarstva. Tu spadaju Niš, Leskovac, Pirot, Sremska Mitrovica, Novi Pazar, Bečej, Bujanovac, Sombor, Vrnjačka Banja, Užice, Lebane, Kragujevac, Smederevo, Nova Varoš.</w:t>
      </w:r>
    </w:p>
    <w:p w14:paraId="5438AB8A" w14:textId="1D19A76D" w:rsidR="0078041E" w:rsidRDefault="0078041E" w:rsidP="00A45440">
      <w:pPr>
        <w:ind w:firstLine="720"/>
        <w:jc w:val="both"/>
      </w:pPr>
    </w:p>
    <w:p w14:paraId="7C38AF59" w14:textId="25ABF6B9" w:rsidR="0078041E" w:rsidRDefault="0078041E" w:rsidP="00A45440">
      <w:pPr>
        <w:ind w:firstLine="720"/>
        <w:jc w:val="both"/>
      </w:pPr>
    </w:p>
    <w:p w14:paraId="5124E7C1" w14:textId="0FDBBB12" w:rsidR="0078041E" w:rsidRDefault="0078041E" w:rsidP="00A45440">
      <w:pPr>
        <w:ind w:firstLine="720"/>
        <w:jc w:val="both"/>
      </w:pPr>
    </w:p>
    <w:p w14:paraId="7BA460DA" w14:textId="6C2477B0" w:rsidR="0078041E" w:rsidRDefault="0078041E" w:rsidP="00A45440">
      <w:pPr>
        <w:ind w:firstLine="720"/>
        <w:jc w:val="both"/>
      </w:pPr>
    </w:p>
    <w:p w14:paraId="4E109BBD" w14:textId="6E3384CA" w:rsidR="0078041E" w:rsidRDefault="0078041E" w:rsidP="00A45440">
      <w:pPr>
        <w:ind w:firstLine="720"/>
        <w:jc w:val="both"/>
      </w:pPr>
    </w:p>
    <w:p w14:paraId="497A1F23" w14:textId="77777777" w:rsidR="0078041E" w:rsidRDefault="0078041E" w:rsidP="00A45440">
      <w:pPr>
        <w:ind w:firstLine="720"/>
        <w:jc w:val="both"/>
      </w:pPr>
    </w:p>
    <w:p w14:paraId="34878F2F" w14:textId="1C2DA9F1" w:rsidR="00A45440" w:rsidRDefault="00A45440" w:rsidP="00A45440">
      <w:pPr>
        <w:pStyle w:val="Heading1"/>
        <w:rPr>
          <w:b/>
          <w:i/>
          <w:sz w:val="20"/>
          <w:szCs w:val="20"/>
        </w:rPr>
      </w:pPr>
      <w:bookmarkStart w:id="6" w:name="_1ov2p0to735g" w:colFirst="0" w:colLast="0"/>
      <w:bookmarkEnd w:id="6"/>
      <w:r w:rsidRPr="003B6D54">
        <w:rPr>
          <w:b/>
          <w:sz w:val="20"/>
          <w:szCs w:val="20"/>
        </w:rPr>
        <w:t xml:space="preserve">Tabela br.2. Organizacije koje su dobile sredstva na </w:t>
      </w:r>
      <w:r w:rsidRPr="003B6D54">
        <w:rPr>
          <w:b/>
          <w:i/>
          <w:sz w:val="20"/>
          <w:szCs w:val="20"/>
        </w:rPr>
        <w:t>Konkursu za stimulisanje različitih oblika zapošljavanja, samozapošljavanja i preduzetništva mladih</w:t>
      </w:r>
    </w:p>
    <w:p w14:paraId="25744B62" w14:textId="77777777" w:rsidR="008466D3" w:rsidRPr="008466D3" w:rsidRDefault="008466D3" w:rsidP="008466D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1470"/>
        <w:gridCol w:w="2250"/>
        <w:gridCol w:w="1880"/>
        <w:gridCol w:w="1880"/>
      </w:tblGrid>
      <w:tr w:rsidR="00A45440" w14:paraId="73274402" w14:textId="77777777" w:rsidTr="00C312B2">
        <w:tc>
          <w:tcPr>
            <w:tcW w:w="1880" w:type="dxa"/>
            <w:shd w:val="clear" w:color="auto" w:fill="auto"/>
            <w:tcMar>
              <w:top w:w="100" w:type="dxa"/>
              <w:left w:w="100" w:type="dxa"/>
              <w:bottom w:w="100" w:type="dxa"/>
              <w:right w:w="100" w:type="dxa"/>
            </w:tcMar>
          </w:tcPr>
          <w:p w14:paraId="4F8CDA63" w14:textId="77777777" w:rsidR="00A45440" w:rsidRDefault="00A45440" w:rsidP="00C312B2">
            <w:pPr>
              <w:widowControl w:val="0"/>
              <w:rPr>
                <w:b/>
                <w:sz w:val="36"/>
                <w:szCs w:val="36"/>
              </w:rPr>
            </w:pPr>
            <w:r>
              <w:rPr>
                <w:b/>
                <w:sz w:val="28"/>
                <w:szCs w:val="28"/>
              </w:rPr>
              <w:t>Jedinica lokalne samouprave</w:t>
            </w:r>
          </w:p>
        </w:tc>
        <w:tc>
          <w:tcPr>
            <w:tcW w:w="1470" w:type="dxa"/>
            <w:shd w:val="clear" w:color="auto" w:fill="auto"/>
            <w:tcMar>
              <w:top w:w="100" w:type="dxa"/>
              <w:left w:w="100" w:type="dxa"/>
              <w:bottom w:w="100" w:type="dxa"/>
              <w:right w:w="100" w:type="dxa"/>
            </w:tcMar>
          </w:tcPr>
          <w:p w14:paraId="69A2D969" w14:textId="77777777" w:rsidR="00A45440" w:rsidRDefault="00A45440" w:rsidP="00C312B2">
            <w:pPr>
              <w:widowControl w:val="0"/>
            </w:pPr>
            <w:r>
              <w:rPr>
                <w:b/>
                <w:sz w:val="28"/>
                <w:szCs w:val="28"/>
              </w:rPr>
              <w:t>Br.org. dobitnika</w:t>
            </w:r>
          </w:p>
        </w:tc>
        <w:tc>
          <w:tcPr>
            <w:tcW w:w="2250" w:type="dxa"/>
            <w:shd w:val="clear" w:color="auto" w:fill="auto"/>
            <w:tcMar>
              <w:top w:w="100" w:type="dxa"/>
              <w:left w:w="100" w:type="dxa"/>
              <w:bottom w:w="100" w:type="dxa"/>
              <w:right w:w="100" w:type="dxa"/>
            </w:tcMar>
          </w:tcPr>
          <w:p w14:paraId="277B7BFE" w14:textId="77777777" w:rsidR="00A45440" w:rsidRDefault="00A45440" w:rsidP="00C312B2">
            <w:pPr>
              <w:widowControl w:val="0"/>
              <w:rPr>
                <w:b/>
                <w:sz w:val="28"/>
                <w:szCs w:val="28"/>
              </w:rPr>
            </w:pPr>
            <w:r>
              <w:rPr>
                <w:b/>
                <w:sz w:val="28"/>
                <w:szCs w:val="28"/>
              </w:rPr>
              <w:t>% od ukupnog br. dobitnika</w:t>
            </w:r>
          </w:p>
        </w:tc>
        <w:tc>
          <w:tcPr>
            <w:tcW w:w="1880" w:type="dxa"/>
            <w:shd w:val="clear" w:color="auto" w:fill="auto"/>
            <w:tcMar>
              <w:top w:w="100" w:type="dxa"/>
              <w:left w:w="100" w:type="dxa"/>
              <w:bottom w:w="100" w:type="dxa"/>
              <w:right w:w="100" w:type="dxa"/>
            </w:tcMar>
          </w:tcPr>
          <w:p w14:paraId="475099DD" w14:textId="77777777" w:rsidR="00A45440" w:rsidRDefault="00A45440" w:rsidP="00C312B2">
            <w:pPr>
              <w:widowControl w:val="0"/>
              <w:rPr>
                <w:b/>
                <w:sz w:val="28"/>
                <w:szCs w:val="28"/>
              </w:rPr>
            </w:pPr>
            <w:r>
              <w:rPr>
                <w:b/>
                <w:sz w:val="28"/>
                <w:szCs w:val="28"/>
              </w:rPr>
              <w:t>Dobijena sredstva</w:t>
            </w:r>
          </w:p>
          <w:p w14:paraId="7A2B7DE9" w14:textId="77777777" w:rsidR="00A45440" w:rsidRDefault="00A45440" w:rsidP="00C312B2">
            <w:pPr>
              <w:widowControl w:val="0"/>
              <w:rPr>
                <w:b/>
                <w:sz w:val="28"/>
                <w:szCs w:val="28"/>
              </w:rPr>
            </w:pPr>
            <w:r>
              <w:rPr>
                <w:b/>
                <w:sz w:val="28"/>
                <w:szCs w:val="28"/>
              </w:rPr>
              <w:t>u dinarima</w:t>
            </w:r>
          </w:p>
        </w:tc>
        <w:tc>
          <w:tcPr>
            <w:tcW w:w="1880" w:type="dxa"/>
            <w:shd w:val="clear" w:color="auto" w:fill="auto"/>
            <w:tcMar>
              <w:top w:w="100" w:type="dxa"/>
              <w:left w:w="100" w:type="dxa"/>
              <w:bottom w:w="100" w:type="dxa"/>
              <w:right w:w="100" w:type="dxa"/>
            </w:tcMar>
          </w:tcPr>
          <w:p w14:paraId="718A508C" w14:textId="77777777" w:rsidR="00A45440" w:rsidRDefault="00A45440" w:rsidP="00C312B2">
            <w:pPr>
              <w:widowControl w:val="0"/>
              <w:rPr>
                <w:b/>
                <w:sz w:val="28"/>
                <w:szCs w:val="28"/>
              </w:rPr>
            </w:pPr>
            <w:r>
              <w:rPr>
                <w:b/>
                <w:sz w:val="28"/>
                <w:szCs w:val="28"/>
              </w:rPr>
              <w:t>% od ukupnog</w:t>
            </w:r>
          </w:p>
          <w:p w14:paraId="62410344" w14:textId="77777777" w:rsidR="00A45440" w:rsidRDefault="00A45440" w:rsidP="00C312B2">
            <w:pPr>
              <w:widowControl w:val="0"/>
            </w:pPr>
            <w:r>
              <w:rPr>
                <w:b/>
                <w:sz w:val="28"/>
                <w:szCs w:val="28"/>
              </w:rPr>
              <w:t xml:space="preserve">budžeta </w:t>
            </w:r>
          </w:p>
        </w:tc>
      </w:tr>
      <w:tr w:rsidR="00A45440" w14:paraId="1DA8349C" w14:textId="77777777" w:rsidTr="00C312B2">
        <w:tc>
          <w:tcPr>
            <w:tcW w:w="1880" w:type="dxa"/>
            <w:tcMar>
              <w:top w:w="100" w:type="dxa"/>
              <w:left w:w="100" w:type="dxa"/>
              <w:bottom w:w="100" w:type="dxa"/>
              <w:right w:w="100" w:type="dxa"/>
            </w:tcMar>
          </w:tcPr>
          <w:p w14:paraId="4468E7AE" w14:textId="77777777" w:rsidR="00A45440" w:rsidRDefault="00A45440" w:rsidP="00C312B2">
            <w:pPr>
              <w:widowControl w:val="0"/>
              <w:pBdr>
                <w:top w:val="nil"/>
                <w:left w:val="nil"/>
                <w:bottom w:val="nil"/>
                <w:right w:val="nil"/>
                <w:between w:val="nil"/>
              </w:pBdr>
            </w:pPr>
            <w:r>
              <w:t>Beograd</w:t>
            </w:r>
          </w:p>
        </w:tc>
        <w:tc>
          <w:tcPr>
            <w:tcW w:w="1470" w:type="dxa"/>
            <w:tcMar>
              <w:top w:w="100" w:type="dxa"/>
              <w:left w:w="100" w:type="dxa"/>
              <w:bottom w:w="100" w:type="dxa"/>
              <w:right w:w="100" w:type="dxa"/>
            </w:tcMar>
          </w:tcPr>
          <w:p w14:paraId="078CC7DF" w14:textId="77777777" w:rsidR="00A45440" w:rsidRDefault="00A45440" w:rsidP="00C312B2">
            <w:pPr>
              <w:widowControl w:val="0"/>
              <w:pBdr>
                <w:top w:val="nil"/>
                <w:left w:val="nil"/>
                <w:bottom w:val="nil"/>
                <w:right w:val="nil"/>
                <w:between w:val="nil"/>
              </w:pBdr>
            </w:pPr>
            <w:r>
              <w:t>15</w:t>
            </w:r>
          </w:p>
        </w:tc>
        <w:tc>
          <w:tcPr>
            <w:tcW w:w="2250" w:type="dxa"/>
            <w:tcMar>
              <w:top w:w="100" w:type="dxa"/>
              <w:left w:w="100" w:type="dxa"/>
              <w:bottom w:w="100" w:type="dxa"/>
              <w:right w:w="100" w:type="dxa"/>
            </w:tcMar>
          </w:tcPr>
          <w:p w14:paraId="3EDC5854" w14:textId="77777777" w:rsidR="00A45440" w:rsidRDefault="00A45440" w:rsidP="00C312B2">
            <w:pPr>
              <w:widowControl w:val="0"/>
              <w:pBdr>
                <w:top w:val="nil"/>
                <w:left w:val="nil"/>
                <w:bottom w:val="nil"/>
                <w:right w:val="nil"/>
                <w:between w:val="nil"/>
              </w:pBdr>
            </w:pPr>
            <w:r>
              <w:t>57.69%</w:t>
            </w:r>
          </w:p>
        </w:tc>
        <w:tc>
          <w:tcPr>
            <w:tcW w:w="1880" w:type="dxa"/>
            <w:tcMar>
              <w:top w:w="100" w:type="dxa"/>
              <w:left w:w="100" w:type="dxa"/>
              <w:bottom w:w="100" w:type="dxa"/>
              <w:right w:w="100" w:type="dxa"/>
            </w:tcMar>
          </w:tcPr>
          <w:p w14:paraId="26356FB3" w14:textId="77777777" w:rsidR="00A45440" w:rsidRDefault="00A45440" w:rsidP="00C312B2">
            <w:pPr>
              <w:widowControl w:val="0"/>
              <w:pBdr>
                <w:top w:val="nil"/>
                <w:left w:val="nil"/>
                <w:bottom w:val="nil"/>
                <w:right w:val="nil"/>
                <w:between w:val="nil"/>
              </w:pBdr>
            </w:pPr>
            <w:r>
              <w:t>43,351,174</w:t>
            </w:r>
          </w:p>
        </w:tc>
        <w:tc>
          <w:tcPr>
            <w:tcW w:w="1880" w:type="dxa"/>
            <w:tcMar>
              <w:top w:w="100" w:type="dxa"/>
              <w:left w:w="100" w:type="dxa"/>
              <w:bottom w:w="100" w:type="dxa"/>
              <w:right w:w="100" w:type="dxa"/>
            </w:tcMar>
          </w:tcPr>
          <w:p w14:paraId="6B0AF00E" w14:textId="77777777" w:rsidR="00A45440" w:rsidRDefault="00A45440" w:rsidP="00C312B2">
            <w:pPr>
              <w:widowControl w:val="0"/>
            </w:pPr>
            <w:r>
              <w:t>57.80%</w:t>
            </w:r>
          </w:p>
        </w:tc>
      </w:tr>
      <w:tr w:rsidR="00A45440" w14:paraId="6E4768BF" w14:textId="77777777" w:rsidTr="00C312B2">
        <w:tc>
          <w:tcPr>
            <w:tcW w:w="1880" w:type="dxa"/>
            <w:shd w:val="clear" w:color="auto" w:fill="auto"/>
            <w:tcMar>
              <w:top w:w="100" w:type="dxa"/>
              <w:left w:w="100" w:type="dxa"/>
              <w:bottom w:w="100" w:type="dxa"/>
              <w:right w:w="100" w:type="dxa"/>
            </w:tcMar>
          </w:tcPr>
          <w:p w14:paraId="58F71153" w14:textId="77777777" w:rsidR="00A45440" w:rsidRDefault="00A45440" w:rsidP="00C312B2">
            <w:pPr>
              <w:widowControl w:val="0"/>
            </w:pPr>
            <w:r>
              <w:t>Požarevac</w:t>
            </w:r>
          </w:p>
        </w:tc>
        <w:tc>
          <w:tcPr>
            <w:tcW w:w="1470" w:type="dxa"/>
            <w:shd w:val="clear" w:color="auto" w:fill="auto"/>
            <w:tcMar>
              <w:top w:w="100" w:type="dxa"/>
              <w:left w:w="100" w:type="dxa"/>
              <w:bottom w:w="100" w:type="dxa"/>
              <w:right w:w="100" w:type="dxa"/>
            </w:tcMar>
          </w:tcPr>
          <w:p w14:paraId="19607007"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23B66BFA" w14:textId="77777777" w:rsidR="00A45440" w:rsidRDefault="00A45440" w:rsidP="00C312B2">
            <w:pPr>
              <w:widowControl w:val="0"/>
            </w:pPr>
            <w:r>
              <w:t>3.85 %</w:t>
            </w:r>
          </w:p>
        </w:tc>
        <w:tc>
          <w:tcPr>
            <w:tcW w:w="1880" w:type="dxa"/>
            <w:shd w:val="clear" w:color="auto" w:fill="auto"/>
            <w:tcMar>
              <w:top w:w="100" w:type="dxa"/>
              <w:left w:w="100" w:type="dxa"/>
              <w:bottom w:w="100" w:type="dxa"/>
              <w:right w:w="100" w:type="dxa"/>
            </w:tcMar>
          </w:tcPr>
          <w:p w14:paraId="28590879" w14:textId="77777777" w:rsidR="00A45440" w:rsidRDefault="00A45440" w:rsidP="00C312B2">
            <w:pPr>
              <w:widowControl w:val="0"/>
            </w:pPr>
            <w:r>
              <w:t>9.514.509</w:t>
            </w:r>
          </w:p>
        </w:tc>
        <w:tc>
          <w:tcPr>
            <w:tcW w:w="1880" w:type="dxa"/>
            <w:shd w:val="clear" w:color="auto" w:fill="auto"/>
            <w:tcMar>
              <w:top w:w="100" w:type="dxa"/>
              <w:left w:w="100" w:type="dxa"/>
              <w:bottom w:w="100" w:type="dxa"/>
              <w:right w:w="100" w:type="dxa"/>
            </w:tcMar>
          </w:tcPr>
          <w:p w14:paraId="7AA6DBB3" w14:textId="77777777" w:rsidR="00A45440" w:rsidRDefault="00A45440" w:rsidP="00C312B2">
            <w:pPr>
              <w:widowControl w:val="0"/>
            </w:pPr>
            <w:r>
              <w:t>12.69%</w:t>
            </w:r>
          </w:p>
        </w:tc>
      </w:tr>
      <w:tr w:rsidR="00A45440" w14:paraId="68C01A7F" w14:textId="77777777" w:rsidTr="00C312B2">
        <w:tc>
          <w:tcPr>
            <w:tcW w:w="1880" w:type="dxa"/>
            <w:shd w:val="clear" w:color="auto" w:fill="auto"/>
            <w:tcMar>
              <w:top w:w="100" w:type="dxa"/>
              <w:left w:w="100" w:type="dxa"/>
              <w:bottom w:w="100" w:type="dxa"/>
              <w:right w:w="100" w:type="dxa"/>
            </w:tcMar>
          </w:tcPr>
          <w:p w14:paraId="448A5801" w14:textId="77777777" w:rsidR="00A45440" w:rsidRDefault="00A45440" w:rsidP="00C312B2">
            <w:pPr>
              <w:widowControl w:val="0"/>
            </w:pPr>
            <w:r>
              <w:t>Raška (Brvenik)</w:t>
            </w:r>
          </w:p>
        </w:tc>
        <w:tc>
          <w:tcPr>
            <w:tcW w:w="1470" w:type="dxa"/>
            <w:shd w:val="clear" w:color="auto" w:fill="auto"/>
            <w:tcMar>
              <w:top w:w="100" w:type="dxa"/>
              <w:left w:w="100" w:type="dxa"/>
              <w:bottom w:w="100" w:type="dxa"/>
              <w:right w:w="100" w:type="dxa"/>
            </w:tcMar>
          </w:tcPr>
          <w:p w14:paraId="0A5EF881"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7870340B" w14:textId="77777777" w:rsidR="00A45440" w:rsidRDefault="00A45440" w:rsidP="00C312B2">
            <w:pPr>
              <w:widowControl w:val="0"/>
            </w:pPr>
            <w:r>
              <w:t>3.85 %</w:t>
            </w:r>
          </w:p>
        </w:tc>
        <w:tc>
          <w:tcPr>
            <w:tcW w:w="1880" w:type="dxa"/>
            <w:shd w:val="clear" w:color="auto" w:fill="auto"/>
            <w:tcMar>
              <w:top w:w="100" w:type="dxa"/>
              <w:left w:w="100" w:type="dxa"/>
              <w:bottom w:w="100" w:type="dxa"/>
              <w:right w:w="100" w:type="dxa"/>
            </w:tcMar>
          </w:tcPr>
          <w:p w14:paraId="03897945" w14:textId="77777777" w:rsidR="00A45440" w:rsidRDefault="00A45440" w:rsidP="00C312B2">
            <w:pPr>
              <w:widowControl w:val="0"/>
            </w:pPr>
            <w:r>
              <w:t>4.760.830</w:t>
            </w:r>
          </w:p>
        </w:tc>
        <w:tc>
          <w:tcPr>
            <w:tcW w:w="1880" w:type="dxa"/>
            <w:shd w:val="clear" w:color="auto" w:fill="auto"/>
            <w:tcMar>
              <w:top w:w="100" w:type="dxa"/>
              <w:left w:w="100" w:type="dxa"/>
              <w:bottom w:w="100" w:type="dxa"/>
              <w:right w:w="100" w:type="dxa"/>
            </w:tcMar>
          </w:tcPr>
          <w:p w14:paraId="4BFDF580" w14:textId="77777777" w:rsidR="00A45440" w:rsidRDefault="00A45440" w:rsidP="00C312B2">
            <w:pPr>
              <w:widowControl w:val="0"/>
            </w:pPr>
            <w:r>
              <w:t>6.35%</w:t>
            </w:r>
          </w:p>
        </w:tc>
      </w:tr>
      <w:tr w:rsidR="00A45440" w14:paraId="35ED851D" w14:textId="77777777" w:rsidTr="00C312B2">
        <w:tc>
          <w:tcPr>
            <w:tcW w:w="1880" w:type="dxa"/>
            <w:shd w:val="clear" w:color="auto" w:fill="auto"/>
            <w:tcMar>
              <w:top w:w="100" w:type="dxa"/>
              <w:left w:w="100" w:type="dxa"/>
              <w:bottom w:w="100" w:type="dxa"/>
              <w:right w:w="100" w:type="dxa"/>
            </w:tcMar>
          </w:tcPr>
          <w:p w14:paraId="2CC562AA" w14:textId="77777777" w:rsidR="00A45440" w:rsidRDefault="00A45440" w:rsidP="00C312B2">
            <w:pPr>
              <w:widowControl w:val="0"/>
            </w:pPr>
            <w:r>
              <w:t>Sjenica</w:t>
            </w:r>
          </w:p>
        </w:tc>
        <w:tc>
          <w:tcPr>
            <w:tcW w:w="1470" w:type="dxa"/>
            <w:shd w:val="clear" w:color="auto" w:fill="auto"/>
            <w:tcMar>
              <w:top w:w="100" w:type="dxa"/>
              <w:left w:w="100" w:type="dxa"/>
              <w:bottom w:w="100" w:type="dxa"/>
              <w:right w:w="100" w:type="dxa"/>
            </w:tcMar>
          </w:tcPr>
          <w:p w14:paraId="2B66D625"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233220BC" w14:textId="77777777" w:rsidR="00A45440" w:rsidRDefault="00A45440" w:rsidP="00C312B2">
            <w:pPr>
              <w:widowControl w:val="0"/>
            </w:pPr>
            <w:r>
              <w:t>3.85 %</w:t>
            </w:r>
          </w:p>
        </w:tc>
        <w:tc>
          <w:tcPr>
            <w:tcW w:w="1880" w:type="dxa"/>
            <w:shd w:val="clear" w:color="auto" w:fill="auto"/>
            <w:tcMar>
              <w:top w:w="100" w:type="dxa"/>
              <w:left w:w="100" w:type="dxa"/>
              <w:bottom w:w="100" w:type="dxa"/>
              <w:right w:w="100" w:type="dxa"/>
            </w:tcMar>
          </w:tcPr>
          <w:p w14:paraId="551E9739" w14:textId="77777777" w:rsidR="00A45440" w:rsidRDefault="00A45440" w:rsidP="00C312B2">
            <w:pPr>
              <w:widowControl w:val="0"/>
            </w:pPr>
            <w:r>
              <w:t>4.180.840</w:t>
            </w:r>
          </w:p>
        </w:tc>
        <w:tc>
          <w:tcPr>
            <w:tcW w:w="1880" w:type="dxa"/>
            <w:shd w:val="clear" w:color="auto" w:fill="auto"/>
            <w:tcMar>
              <w:top w:w="100" w:type="dxa"/>
              <w:left w:w="100" w:type="dxa"/>
              <w:bottom w:w="100" w:type="dxa"/>
              <w:right w:w="100" w:type="dxa"/>
            </w:tcMar>
          </w:tcPr>
          <w:p w14:paraId="119C5820" w14:textId="77777777" w:rsidR="00A45440" w:rsidRDefault="00A45440" w:rsidP="00C312B2">
            <w:pPr>
              <w:jc w:val="both"/>
            </w:pPr>
            <w:r>
              <w:t>5.57%</w:t>
            </w:r>
          </w:p>
        </w:tc>
      </w:tr>
      <w:tr w:rsidR="00A45440" w14:paraId="617326AB" w14:textId="77777777" w:rsidTr="00C312B2">
        <w:tc>
          <w:tcPr>
            <w:tcW w:w="1880" w:type="dxa"/>
            <w:shd w:val="clear" w:color="auto" w:fill="auto"/>
            <w:tcMar>
              <w:top w:w="100" w:type="dxa"/>
              <w:left w:w="100" w:type="dxa"/>
              <w:bottom w:w="100" w:type="dxa"/>
              <w:right w:w="100" w:type="dxa"/>
            </w:tcMar>
          </w:tcPr>
          <w:p w14:paraId="741879EE" w14:textId="77777777" w:rsidR="00A45440" w:rsidRDefault="00A45440" w:rsidP="00C312B2">
            <w:pPr>
              <w:widowControl w:val="0"/>
              <w:pBdr>
                <w:top w:val="nil"/>
                <w:left w:val="nil"/>
                <w:bottom w:val="nil"/>
                <w:right w:val="nil"/>
                <w:between w:val="nil"/>
              </w:pBdr>
            </w:pPr>
            <w:r>
              <w:t xml:space="preserve">Novi Sad </w:t>
            </w:r>
          </w:p>
        </w:tc>
        <w:tc>
          <w:tcPr>
            <w:tcW w:w="1470" w:type="dxa"/>
            <w:shd w:val="clear" w:color="auto" w:fill="auto"/>
            <w:tcMar>
              <w:top w:w="100" w:type="dxa"/>
              <w:left w:w="100" w:type="dxa"/>
              <w:bottom w:w="100" w:type="dxa"/>
              <w:right w:w="100" w:type="dxa"/>
            </w:tcMar>
          </w:tcPr>
          <w:p w14:paraId="6A0A9BD7" w14:textId="77777777" w:rsidR="00A45440" w:rsidRDefault="00A45440" w:rsidP="00C312B2">
            <w:pPr>
              <w:widowControl w:val="0"/>
              <w:pBdr>
                <w:top w:val="nil"/>
                <w:left w:val="nil"/>
                <w:bottom w:val="nil"/>
                <w:right w:val="nil"/>
                <w:between w:val="nil"/>
              </w:pBdr>
            </w:pPr>
            <w:r>
              <w:t>3</w:t>
            </w:r>
          </w:p>
        </w:tc>
        <w:tc>
          <w:tcPr>
            <w:tcW w:w="2250" w:type="dxa"/>
            <w:shd w:val="clear" w:color="auto" w:fill="auto"/>
            <w:tcMar>
              <w:top w:w="100" w:type="dxa"/>
              <w:left w:w="100" w:type="dxa"/>
              <w:bottom w:w="100" w:type="dxa"/>
              <w:right w:w="100" w:type="dxa"/>
            </w:tcMar>
          </w:tcPr>
          <w:p w14:paraId="34097507" w14:textId="77777777" w:rsidR="00A45440" w:rsidRDefault="00A45440" w:rsidP="00C312B2">
            <w:pPr>
              <w:widowControl w:val="0"/>
              <w:pBdr>
                <w:top w:val="nil"/>
                <w:left w:val="nil"/>
                <w:bottom w:val="nil"/>
                <w:right w:val="nil"/>
                <w:between w:val="nil"/>
              </w:pBdr>
            </w:pPr>
            <w:r>
              <w:t>11.54 %</w:t>
            </w:r>
          </w:p>
        </w:tc>
        <w:tc>
          <w:tcPr>
            <w:tcW w:w="1880" w:type="dxa"/>
            <w:shd w:val="clear" w:color="auto" w:fill="auto"/>
            <w:tcMar>
              <w:top w:w="100" w:type="dxa"/>
              <w:left w:w="100" w:type="dxa"/>
              <w:bottom w:w="100" w:type="dxa"/>
              <w:right w:w="100" w:type="dxa"/>
            </w:tcMar>
          </w:tcPr>
          <w:p w14:paraId="69DB52ED" w14:textId="77777777" w:rsidR="00A45440" w:rsidRDefault="00A45440" w:rsidP="00C312B2">
            <w:pPr>
              <w:widowControl w:val="0"/>
              <w:pBdr>
                <w:top w:val="nil"/>
                <w:left w:val="nil"/>
                <w:bottom w:val="nil"/>
                <w:right w:val="nil"/>
                <w:between w:val="nil"/>
              </w:pBdr>
            </w:pPr>
            <w:r>
              <w:t>3,730,250</w:t>
            </w:r>
          </w:p>
        </w:tc>
        <w:tc>
          <w:tcPr>
            <w:tcW w:w="1880" w:type="dxa"/>
            <w:shd w:val="clear" w:color="auto" w:fill="auto"/>
            <w:tcMar>
              <w:top w:w="100" w:type="dxa"/>
              <w:left w:w="100" w:type="dxa"/>
              <w:bottom w:w="100" w:type="dxa"/>
              <w:right w:w="100" w:type="dxa"/>
            </w:tcMar>
          </w:tcPr>
          <w:p w14:paraId="1E092F95" w14:textId="77777777" w:rsidR="00A45440" w:rsidRDefault="00A45440" w:rsidP="00C312B2">
            <w:pPr>
              <w:widowControl w:val="0"/>
              <w:pBdr>
                <w:top w:val="nil"/>
                <w:left w:val="nil"/>
                <w:bottom w:val="nil"/>
                <w:right w:val="nil"/>
                <w:between w:val="nil"/>
              </w:pBdr>
            </w:pPr>
            <w:r>
              <w:t>4.97 %</w:t>
            </w:r>
          </w:p>
        </w:tc>
      </w:tr>
      <w:tr w:rsidR="00A45440" w14:paraId="74426A3F" w14:textId="77777777" w:rsidTr="00C312B2">
        <w:tc>
          <w:tcPr>
            <w:tcW w:w="1880" w:type="dxa"/>
            <w:shd w:val="clear" w:color="auto" w:fill="auto"/>
            <w:tcMar>
              <w:top w:w="100" w:type="dxa"/>
              <w:left w:w="100" w:type="dxa"/>
              <w:bottom w:w="100" w:type="dxa"/>
              <w:right w:w="100" w:type="dxa"/>
            </w:tcMar>
          </w:tcPr>
          <w:p w14:paraId="199F4929" w14:textId="77777777" w:rsidR="00A45440" w:rsidRDefault="00A45440" w:rsidP="00C312B2">
            <w:pPr>
              <w:widowControl w:val="0"/>
            </w:pPr>
            <w:r>
              <w:t>Vranje</w:t>
            </w:r>
          </w:p>
        </w:tc>
        <w:tc>
          <w:tcPr>
            <w:tcW w:w="1470" w:type="dxa"/>
            <w:shd w:val="clear" w:color="auto" w:fill="auto"/>
            <w:tcMar>
              <w:top w:w="100" w:type="dxa"/>
              <w:left w:w="100" w:type="dxa"/>
              <w:bottom w:w="100" w:type="dxa"/>
              <w:right w:w="100" w:type="dxa"/>
            </w:tcMar>
          </w:tcPr>
          <w:p w14:paraId="0EC677F9"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6EF54945" w14:textId="77777777" w:rsidR="00A45440" w:rsidRDefault="00A45440" w:rsidP="00C312B2">
            <w:pPr>
              <w:widowControl w:val="0"/>
            </w:pPr>
            <w:r>
              <w:t>3.85 %</w:t>
            </w:r>
          </w:p>
        </w:tc>
        <w:tc>
          <w:tcPr>
            <w:tcW w:w="1880" w:type="dxa"/>
            <w:shd w:val="clear" w:color="auto" w:fill="auto"/>
            <w:tcMar>
              <w:top w:w="100" w:type="dxa"/>
              <w:left w:w="100" w:type="dxa"/>
              <w:bottom w:w="100" w:type="dxa"/>
              <w:right w:w="100" w:type="dxa"/>
            </w:tcMar>
          </w:tcPr>
          <w:p w14:paraId="5308D6A6" w14:textId="77777777" w:rsidR="00A45440" w:rsidRDefault="00A45440" w:rsidP="00C312B2">
            <w:pPr>
              <w:widowControl w:val="0"/>
            </w:pPr>
            <w:r>
              <w:t>1.911.000</w:t>
            </w:r>
          </w:p>
        </w:tc>
        <w:tc>
          <w:tcPr>
            <w:tcW w:w="1880" w:type="dxa"/>
            <w:shd w:val="clear" w:color="auto" w:fill="auto"/>
            <w:tcMar>
              <w:top w:w="100" w:type="dxa"/>
              <w:left w:w="100" w:type="dxa"/>
              <w:bottom w:w="100" w:type="dxa"/>
              <w:right w:w="100" w:type="dxa"/>
            </w:tcMar>
          </w:tcPr>
          <w:p w14:paraId="151F7E71" w14:textId="77777777" w:rsidR="00A45440" w:rsidRDefault="00A45440" w:rsidP="00C312B2">
            <w:pPr>
              <w:widowControl w:val="0"/>
            </w:pPr>
            <w:r>
              <w:t>2.55%</w:t>
            </w:r>
          </w:p>
        </w:tc>
      </w:tr>
      <w:tr w:rsidR="00A45440" w14:paraId="72DE0859" w14:textId="77777777" w:rsidTr="00C312B2">
        <w:tc>
          <w:tcPr>
            <w:tcW w:w="1880" w:type="dxa"/>
            <w:shd w:val="clear" w:color="auto" w:fill="auto"/>
            <w:tcMar>
              <w:top w:w="100" w:type="dxa"/>
              <w:left w:w="100" w:type="dxa"/>
              <w:bottom w:w="100" w:type="dxa"/>
              <w:right w:w="100" w:type="dxa"/>
            </w:tcMar>
          </w:tcPr>
          <w:p w14:paraId="32F2F1BE" w14:textId="77777777" w:rsidR="00A45440" w:rsidRDefault="00A45440" w:rsidP="00C312B2">
            <w:pPr>
              <w:widowControl w:val="0"/>
            </w:pPr>
            <w:r>
              <w:t>Zaječar</w:t>
            </w:r>
          </w:p>
        </w:tc>
        <w:tc>
          <w:tcPr>
            <w:tcW w:w="1470" w:type="dxa"/>
            <w:shd w:val="clear" w:color="auto" w:fill="auto"/>
            <w:tcMar>
              <w:top w:w="100" w:type="dxa"/>
              <w:left w:w="100" w:type="dxa"/>
              <w:bottom w:w="100" w:type="dxa"/>
              <w:right w:w="100" w:type="dxa"/>
            </w:tcMar>
          </w:tcPr>
          <w:p w14:paraId="2D30CD6E"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4445D2C5" w14:textId="77777777" w:rsidR="00A45440" w:rsidRDefault="00A45440" w:rsidP="00C312B2">
            <w:pPr>
              <w:widowControl w:val="0"/>
            </w:pPr>
            <w:r>
              <w:t>3.85 %</w:t>
            </w:r>
          </w:p>
        </w:tc>
        <w:tc>
          <w:tcPr>
            <w:tcW w:w="1880" w:type="dxa"/>
            <w:shd w:val="clear" w:color="auto" w:fill="auto"/>
            <w:tcMar>
              <w:top w:w="100" w:type="dxa"/>
              <w:left w:w="100" w:type="dxa"/>
              <w:bottom w:w="100" w:type="dxa"/>
              <w:right w:w="100" w:type="dxa"/>
            </w:tcMar>
          </w:tcPr>
          <w:p w14:paraId="45B3B94A" w14:textId="77777777" w:rsidR="00A45440" w:rsidRDefault="00A45440" w:rsidP="00C312B2">
            <w:pPr>
              <w:widowControl w:val="0"/>
            </w:pPr>
            <w:r>
              <w:t>1.724.800</w:t>
            </w:r>
          </w:p>
        </w:tc>
        <w:tc>
          <w:tcPr>
            <w:tcW w:w="1880" w:type="dxa"/>
            <w:shd w:val="clear" w:color="auto" w:fill="auto"/>
            <w:tcMar>
              <w:top w:w="100" w:type="dxa"/>
              <w:left w:w="100" w:type="dxa"/>
              <w:bottom w:w="100" w:type="dxa"/>
              <w:right w:w="100" w:type="dxa"/>
            </w:tcMar>
          </w:tcPr>
          <w:p w14:paraId="1AD8310A" w14:textId="77777777" w:rsidR="00A45440" w:rsidRDefault="00A45440" w:rsidP="00C312B2">
            <w:pPr>
              <w:widowControl w:val="0"/>
            </w:pPr>
            <w:r>
              <w:t>2.30%</w:t>
            </w:r>
          </w:p>
        </w:tc>
      </w:tr>
      <w:tr w:rsidR="00A45440" w14:paraId="619B2FC0" w14:textId="77777777" w:rsidTr="00C312B2">
        <w:tc>
          <w:tcPr>
            <w:tcW w:w="1880" w:type="dxa"/>
            <w:shd w:val="clear" w:color="auto" w:fill="auto"/>
            <w:tcMar>
              <w:top w:w="100" w:type="dxa"/>
              <w:left w:w="100" w:type="dxa"/>
              <w:bottom w:w="100" w:type="dxa"/>
              <w:right w:w="100" w:type="dxa"/>
            </w:tcMar>
          </w:tcPr>
          <w:p w14:paraId="4AF3359E" w14:textId="77777777" w:rsidR="00A45440" w:rsidRDefault="00A45440" w:rsidP="00C312B2">
            <w:pPr>
              <w:widowControl w:val="0"/>
            </w:pPr>
            <w:r>
              <w:t>Prijepolje</w:t>
            </w:r>
          </w:p>
        </w:tc>
        <w:tc>
          <w:tcPr>
            <w:tcW w:w="1470" w:type="dxa"/>
            <w:shd w:val="clear" w:color="auto" w:fill="auto"/>
            <w:tcMar>
              <w:top w:w="100" w:type="dxa"/>
              <w:left w:w="100" w:type="dxa"/>
              <w:bottom w:w="100" w:type="dxa"/>
              <w:right w:w="100" w:type="dxa"/>
            </w:tcMar>
          </w:tcPr>
          <w:p w14:paraId="6F5CCED4"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56779273" w14:textId="77777777" w:rsidR="00A45440" w:rsidRDefault="00A45440" w:rsidP="00C312B2">
            <w:pPr>
              <w:widowControl w:val="0"/>
            </w:pPr>
            <w:r>
              <w:t>3.85 %</w:t>
            </w:r>
          </w:p>
        </w:tc>
        <w:tc>
          <w:tcPr>
            <w:tcW w:w="1880" w:type="dxa"/>
            <w:shd w:val="clear" w:color="auto" w:fill="auto"/>
            <w:tcMar>
              <w:top w:w="100" w:type="dxa"/>
              <w:left w:w="100" w:type="dxa"/>
              <w:bottom w:w="100" w:type="dxa"/>
              <w:right w:w="100" w:type="dxa"/>
            </w:tcMar>
          </w:tcPr>
          <w:p w14:paraId="443A344C" w14:textId="77777777" w:rsidR="00A45440" w:rsidRDefault="00A45440" w:rsidP="00C312B2">
            <w:pPr>
              <w:widowControl w:val="0"/>
            </w:pPr>
            <w:r>
              <w:t>1.283.330</w:t>
            </w:r>
          </w:p>
        </w:tc>
        <w:tc>
          <w:tcPr>
            <w:tcW w:w="1880" w:type="dxa"/>
            <w:shd w:val="clear" w:color="auto" w:fill="auto"/>
            <w:tcMar>
              <w:top w:w="100" w:type="dxa"/>
              <w:left w:w="100" w:type="dxa"/>
              <w:bottom w:w="100" w:type="dxa"/>
              <w:right w:w="100" w:type="dxa"/>
            </w:tcMar>
          </w:tcPr>
          <w:p w14:paraId="07F51E61" w14:textId="77777777" w:rsidR="00A45440" w:rsidRDefault="00A45440" w:rsidP="00C312B2">
            <w:pPr>
              <w:widowControl w:val="0"/>
            </w:pPr>
            <w:r>
              <w:t>1.71%</w:t>
            </w:r>
          </w:p>
        </w:tc>
      </w:tr>
      <w:tr w:rsidR="00A45440" w14:paraId="21E88AC7" w14:textId="77777777" w:rsidTr="00C312B2">
        <w:tc>
          <w:tcPr>
            <w:tcW w:w="1880" w:type="dxa"/>
            <w:shd w:val="clear" w:color="auto" w:fill="auto"/>
            <w:tcMar>
              <w:top w:w="100" w:type="dxa"/>
              <w:left w:w="100" w:type="dxa"/>
              <w:bottom w:w="100" w:type="dxa"/>
              <w:right w:w="100" w:type="dxa"/>
            </w:tcMar>
          </w:tcPr>
          <w:p w14:paraId="1983C1A7" w14:textId="77777777" w:rsidR="00A45440" w:rsidRDefault="00A45440" w:rsidP="00C312B2">
            <w:pPr>
              <w:widowControl w:val="0"/>
            </w:pPr>
            <w:r>
              <w:t>Kruševac</w:t>
            </w:r>
          </w:p>
        </w:tc>
        <w:tc>
          <w:tcPr>
            <w:tcW w:w="1470" w:type="dxa"/>
            <w:shd w:val="clear" w:color="auto" w:fill="auto"/>
            <w:tcMar>
              <w:top w:w="100" w:type="dxa"/>
              <w:left w:w="100" w:type="dxa"/>
              <w:bottom w:w="100" w:type="dxa"/>
              <w:right w:w="100" w:type="dxa"/>
            </w:tcMar>
          </w:tcPr>
          <w:p w14:paraId="6EA8E288"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60076474" w14:textId="77777777" w:rsidR="00A45440" w:rsidRDefault="00A45440" w:rsidP="00C312B2">
            <w:pPr>
              <w:widowControl w:val="0"/>
            </w:pPr>
            <w:r>
              <w:t>3.85 %</w:t>
            </w:r>
          </w:p>
        </w:tc>
        <w:tc>
          <w:tcPr>
            <w:tcW w:w="1880" w:type="dxa"/>
            <w:shd w:val="clear" w:color="auto" w:fill="auto"/>
            <w:tcMar>
              <w:top w:w="100" w:type="dxa"/>
              <w:left w:w="100" w:type="dxa"/>
              <w:bottom w:w="100" w:type="dxa"/>
              <w:right w:w="100" w:type="dxa"/>
            </w:tcMar>
          </w:tcPr>
          <w:p w14:paraId="16A5A975" w14:textId="77777777" w:rsidR="00A45440" w:rsidRDefault="00A45440" w:rsidP="00C312B2">
            <w:pPr>
              <w:widowControl w:val="0"/>
            </w:pPr>
            <w:r>
              <w:t>1.272.100</w:t>
            </w:r>
          </w:p>
        </w:tc>
        <w:tc>
          <w:tcPr>
            <w:tcW w:w="1880" w:type="dxa"/>
            <w:shd w:val="clear" w:color="auto" w:fill="auto"/>
            <w:tcMar>
              <w:top w:w="100" w:type="dxa"/>
              <w:left w:w="100" w:type="dxa"/>
              <w:bottom w:w="100" w:type="dxa"/>
              <w:right w:w="100" w:type="dxa"/>
            </w:tcMar>
          </w:tcPr>
          <w:p w14:paraId="6C62B5E2" w14:textId="77777777" w:rsidR="00A45440" w:rsidRDefault="00A45440" w:rsidP="00C312B2">
            <w:pPr>
              <w:widowControl w:val="0"/>
            </w:pPr>
            <w:r>
              <w:t>1.70%</w:t>
            </w:r>
          </w:p>
        </w:tc>
      </w:tr>
      <w:tr w:rsidR="00A45440" w14:paraId="74B08F72" w14:textId="77777777" w:rsidTr="00C312B2">
        <w:tc>
          <w:tcPr>
            <w:tcW w:w="1880" w:type="dxa"/>
            <w:shd w:val="clear" w:color="auto" w:fill="auto"/>
            <w:tcMar>
              <w:top w:w="100" w:type="dxa"/>
              <w:left w:w="100" w:type="dxa"/>
              <w:bottom w:w="100" w:type="dxa"/>
              <w:right w:w="100" w:type="dxa"/>
            </w:tcMar>
          </w:tcPr>
          <w:p w14:paraId="7120A884" w14:textId="77777777" w:rsidR="00A45440" w:rsidRDefault="00A45440" w:rsidP="00C312B2">
            <w:pPr>
              <w:widowControl w:val="0"/>
              <w:pBdr>
                <w:top w:val="nil"/>
                <w:left w:val="nil"/>
                <w:bottom w:val="nil"/>
                <w:right w:val="nil"/>
                <w:between w:val="nil"/>
              </w:pBdr>
            </w:pPr>
            <w:r>
              <w:t>Pančevo</w:t>
            </w:r>
          </w:p>
        </w:tc>
        <w:tc>
          <w:tcPr>
            <w:tcW w:w="1470" w:type="dxa"/>
            <w:shd w:val="clear" w:color="auto" w:fill="auto"/>
            <w:tcMar>
              <w:top w:w="100" w:type="dxa"/>
              <w:left w:w="100" w:type="dxa"/>
              <w:bottom w:w="100" w:type="dxa"/>
              <w:right w:w="100" w:type="dxa"/>
            </w:tcMar>
          </w:tcPr>
          <w:p w14:paraId="0CEDC0F3" w14:textId="77777777" w:rsidR="00A45440" w:rsidRDefault="00A45440" w:rsidP="00C312B2">
            <w:pPr>
              <w:widowControl w:val="0"/>
              <w:pBdr>
                <w:top w:val="nil"/>
                <w:left w:val="nil"/>
                <w:bottom w:val="nil"/>
                <w:right w:val="nil"/>
                <w:between w:val="nil"/>
              </w:pBdr>
            </w:pPr>
            <w:r>
              <w:t>1</w:t>
            </w:r>
          </w:p>
        </w:tc>
        <w:tc>
          <w:tcPr>
            <w:tcW w:w="2250" w:type="dxa"/>
            <w:shd w:val="clear" w:color="auto" w:fill="auto"/>
            <w:tcMar>
              <w:top w:w="100" w:type="dxa"/>
              <w:left w:w="100" w:type="dxa"/>
              <w:bottom w:w="100" w:type="dxa"/>
              <w:right w:w="100" w:type="dxa"/>
            </w:tcMar>
          </w:tcPr>
          <w:p w14:paraId="180FDA76" w14:textId="77777777" w:rsidR="00A45440" w:rsidRDefault="00A45440" w:rsidP="00C312B2">
            <w:pPr>
              <w:widowControl w:val="0"/>
              <w:pBdr>
                <w:top w:val="nil"/>
                <w:left w:val="nil"/>
                <w:bottom w:val="nil"/>
                <w:right w:val="nil"/>
                <w:between w:val="nil"/>
              </w:pBdr>
            </w:pPr>
            <w:r>
              <w:t>3.85 %</w:t>
            </w:r>
          </w:p>
        </w:tc>
        <w:tc>
          <w:tcPr>
            <w:tcW w:w="1880" w:type="dxa"/>
            <w:shd w:val="clear" w:color="auto" w:fill="auto"/>
            <w:tcMar>
              <w:top w:w="100" w:type="dxa"/>
              <w:left w:w="100" w:type="dxa"/>
              <w:bottom w:w="100" w:type="dxa"/>
              <w:right w:w="100" w:type="dxa"/>
            </w:tcMar>
          </w:tcPr>
          <w:p w14:paraId="333C8C7A" w14:textId="77777777" w:rsidR="00A45440" w:rsidRDefault="00A45440" w:rsidP="00C312B2">
            <w:pPr>
              <w:widowControl w:val="0"/>
              <w:pBdr>
                <w:top w:val="nil"/>
                <w:left w:val="nil"/>
                <w:bottom w:val="nil"/>
                <w:right w:val="nil"/>
                <w:between w:val="nil"/>
              </w:pBdr>
            </w:pPr>
            <w:r>
              <w:t>1.267.350</w:t>
            </w:r>
          </w:p>
        </w:tc>
        <w:tc>
          <w:tcPr>
            <w:tcW w:w="1880" w:type="dxa"/>
            <w:shd w:val="clear" w:color="auto" w:fill="auto"/>
            <w:tcMar>
              <w:top w:w="100" w:type="dxa"/>
              <w:left w:w="100" w:type="dxa"/>
              <w:bottom w:w="100" w:type="dxa"/>
              <w:right w:w="100" w:type="dxa"/>
            </w:tcMar>
          </w:tcPr>
          <w:p w14:paraId="34E5F339" w14:textId="77777777" w:rsidR="00A45440" w:rsidRDefault="00A45440" w:rsidP="00C312B2">
            <w:pPr>
              <w:widowControl w:val="0"/>
              <w:pBdr>
                <w:top w:val="nil"/>
                <w:left w:val="nil"/>
                <w:bottom w:val="nil"/>
                <w:right w:val="nil"/>
                <w:between w:val="nil"/>
              </w:pBdr>
            </w:pPr>
            <w:r>
              <w:t>1.69%</w:t>
            </w:r>
          </w:p>
        </w:tc>
      </w:tr>
    </w:tbl>
    <w:p w14:paraId="347BFC08" w14:textId="057734B6" w:rsidR="00A45440" w:rsidRDefault="00A45440" w:rsidP="00A45440"/>
    <w:p w14:paraId="492DCBAF" w14:textId="7CEBE0CC" w:rsidR="00A45440" w:rsidRDefault="00A45440" w:rsidP="00A45440"/>
    <w:p w14:paraId="4343592B" w14:textId="0C090C5D" w:rsidR="00A45440" w:rsidRDefault="00A45440" w:rsidP="00A45440">
      <w:pPr>
        <w:ind w:firstLine="720"/>
        <w:jc w:val="both"/>
      </w:pPr>
      <w:r>
        <w:t xml:space="preserve">Dakle, iako </w:t>
      </w:r>
      <w:r>
        <w:rPr>
          <w:i/>
        </w:rPr>
        <w:t>Nacionalna strategija za mlade</w:t>
      </w:r>
      <w:r>
        <w:t xml:space="preserve"> predstavlja dokument koji objedinjuje sistemska rešenja najznačajnih pitanja u različitim oblastima života mladih u celoj Republici Srbiji, činjenica je da Vlada Srbije i Ministarstvo omladine i sporta favorizuju organizacije i projekate sa teritorije Beograda. Pokrajinski i lokalni nivoi na kojima bi takođe trebalo da se sprovodi omladinska politika, zastupljeni su u veoma malim procentima. Posebno zabrinjava izdvajanje ogromnih sredstava za zapošljavanje mladih u Beogradu, gde ima daleko više prilika na tržištu za zapošljavanje, i zapostavljanje drugih sredina koje su ekonomski devastirane i gde bi podsticaj zapošljavanju zaista mogao da generiše nova radna mesta.</w:t>
      </w:r>
    </w:p>
    <w:p w14:paraId="522BF96A" w14:textId="77777777" w:rsidR="009B74D5" w:rsidRDefault="009B74D5" w:rsidP="00A45440">
      <w:pPr>
        <w:ind w:firstLine="720"/>
        <w:jc w:val="both"/>
      </w:pPr>
    </w:p>
    <w:p w14:paraId="09C09E84" w14:textId="77777777" w:rsidR="00A45440" w:rsidRDefault="00A45440" w:rsidP="00A45440">
      <w:pPr>
        <w:ind w:firstLine="720"/>
        <w:jc w:val="both"/>
      </w:pPr>
      <w:r>
        <w:t xml:space="preserve">Paradoksalno je i kontraproduktivno da se rezultati oba konkursa kose sa samim ciljevima konkursa. Time se gubi svrsishodnost i opravdanost izdvajanja novca za udruženja mladih. Podsećamo na sličnu situaciju sa konkursima ministarstva u 2019. godini, kada je NKD takođe </w:t>
      </w:r>
      <w:hyperlink r:id="rId8">
        <w:r>
          <w:rPr>
            <w:color w:val="1155CC"/>
            <w:u w:val="single"/>
          </w:rPr>
          <w:t>reagovao</w:t>
        </w:r>
      </w:hyperlink>
      <w:r>
        <w:t>.</w:t>
      </w:r>
    </w:p>
    <w:p w14:paraId="3D8DE3E7" w14:textId="77777777" w:rsidR="00A45440" w:rsidRDefault="00A45440" w:rsidP="00A45440"/>
    <w:p w14:paraId="343B8773" w14:textId="77777777" w:rsidR="00DF3CC1" w:rsidRDefault="00DF3CC1" w:rsidP="00DF3CC1">
      <w:pPr>
        <w:jc w:val="right"/>
        <w:rPr>
          <w:lang w:val="sr-Latn-RS"/>
        </w:rPr>
      </w:pPr>
    </w:p>
    <w:sectPr w:rsidR="00DF3CC1" w:rsidSect="00D564E3">
      <w:headerReference w:type="default" r:id="rId9"/>
      <w:footerReference w:type="default" r:id="rId10"/>
      <w:pgSz w:w="11900" w:h="16840"/>
      <w:pgMar w:top="2880" w:right="1138" w:bottom="90" w:left="1138" w:header="67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59FDF" w14:textId="77777777" w:rsidR="00F57149" w:rsidRDefault="00F57149" w:rsidP="00B716F2">
      <w:r>
        <w:separator/>
      </w:r>
    </w:p>
  </w:endnote>
  <w:endnote w:type="continuationSeparator" w:id="0">
    <w:p w14:paraId="6A43B7F9" w14:textId="77777777" w:rsidR="00F57149" w:rsidRDefault="00F57149" w:rsidP="00B7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Next LT Pro">
    <w:altName w:val="Segoe Script"/>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58042" w14:textId="02242D82" w:rsidR="00380295" w:rsidRPr="00591E07" w:rsidRDefault="00380295" w:rsidP="006D3EAC">
    <w:pPr>
      <w:pStyle w:val="Footer"/>
      <w:jc w:val="center"/>
      <w:rPr>
        <w:rFonts w:ascii="DIN Next LT Pro" w:hAnsi="DIN Next LT Pro"/>
        <w:u w:val="singl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4BF44" w14:textId="77777777" w:rsidR="00F57149" w:rsidRDefault="00F57149" w:rsidP="00B716F2">
      <w:r>
        <w:separator/>
      </w:r>
    </w:p>
  </w:footnote>
  <w:footnote w:type="continuationSeparator" w:id="0">
    <w:p w14:paraId="4DC8254D" w14:textId="77777777" w:rsidR="00F57149" w:rsidRDefault="00F57149" w:rsidP="00B716F2">
      <w:r>
        <w:continuationSeparator/>
      </w:r>
    </w:p>
  </w:footnote>
  <w:footnote w:id="1">
    <w:p w14:paraId="076CE65E" w14:textId="77777777" w:rsidR="00A45440" w:rsidRDefault="00A45440" w:rsidP="00A45440">
      <w:pPr>
        <w:jc w:val="both"/>
        <w:rPr>
          <w:sz w:val="20"/>
          <w:szCs w:val="20"/>
        </w:rPr>
      </w:pPr>
      <w:r>
        <w:rPr>
          <w:vertAlign w:val="superscript"/>
        </w:rPr>
        <w:footnoteRef/>
      </w:r>
      <w:r>
        <w:rPr>
          <w:sz w:val="20"/>
          <w:szCs w:val="20"/>
        </w:rPr>
        <w:t xml:space="preserve"> Inače, </w:t>
      </w:r>
      <w:r>
        <w:rPr>
          <w:i/>
          <w:sz w:val="20"/>
          <w:szCs w:val="20"/>
        </w:rPr>
        <w:t>Nacionalna strategija za mlade</w:t>
      </w:r>
      <w:r>
        <w:rPr>
          <w:sz w:val="20"/>
          <w:szCs w:val="20"/>
        </w:rPr>
        <w:t xml:space="preserve"> definiše devet strateških ciljeva kao željenih promenjenih stanja kada su u pitanju mladi u oblastima od interesa za mlade: zapošljivost i zaposlenost mladih žena i muškaraca; kvalitet i mogućnosti za sticanje kvalifikacija i razvoj kompetencija i inovativnosti mladih; aktivno učešće mladih žena i muškaraca u društvu; zdravlje i blagostanje mladih žena i muškaraca; uslovi za razvijanje bezbednosne kulture mladih; podrška društvenom uključivanju mladih iz kategorija u riziku od socijalne isključenosti; mobilnost, obim međunarodne saradnje mladih i podrška mladim migrantima; sistem informisanja mladih i znanje o mladima; korišćenje i učešće mladih u kreiranju kulturnih sadržaja.</w:t>
      </w:r>
    </w:p>
    <w:p w14:paraId="77CE68A1" w14:textId="77777777" w:rsidR="00A45440" w:rsidRDefault="00A45440" w:rsidP="00A45440">
      <w:pPr>
        <w:jc w:val="both"/>
        <w:rPr>
          <w:sz w:val="20"/>
          <w:szCs w:val="20"/>
        </w:rPr>
      </w:pPr>
    </w:p>
  </w:footnote>
  <w:footnote w:id="2">
    <w:p w14:paraId="4490E971" w14:textId="45C93B41" w:rsidR="00A45440" w:rsidRDefault="00A45440" w:rsidP="00A45440">
      <w:pPr>
        <w:jc w:val="both"/>
        <w:rPr>
          <w:sz w:val="20"/>
          <w:szCs w:val="20"/>
        </w:rPr>
      </w:pPr>
      <w:r>
        <w:rPr>
          <w:vertAlign w:val="superscript"/>
        </w:rPr>
        <w:footnoteRef/>
      </w:r>
      <w:r>
        <w:rPr>
          <w:sz w:val="20"/>
          <w:szCs w:val="20"/>
        </w:rPr>
        <w:t xml:space="preserve"> Sredstva za projekte po ovom konkursu u iznosu od 77.998.935,87 dinara obezbeđena su u budžetu Republike Srbije, na osnovu Zakona o budžetu Republike Srbije za 2020. godinu. a raspored i korišćenje sredstava utvrđeni su Planom </w:t>
      </w:r>
      <w:r w:rsidR="003B6D54">
        <w:rPr>
          <w:sz w:val="20"/>
          <w:szCs w:val="20"/>
        </w:rPr>
        <w:t>i</w:t>
      </w:r>
      <w:r>
        <w:rPr>
          <w:sz w:val="20"/>
          <w:szCs w:val="20"/>
        </w:rPr>
        <w:t xml:space="preserve">zvršenja Ministarstva omladine i sporta za 2020. godinu. </w:t>
      </w:r>
      <w:hyperlink r:id="rId1">
        <w:r>
          <w:rPr>
            <w:color w:val="1155CC"/>
            <w:sz w:val="20"/>
            <w:szCs w:val="20"/>
            <w:u w:val="single"/>
          </w:rPr>
          <w:t>https://www.mos.gov.rs/vest/rezultati-javnog-konkursa-za-finansiranje-i-sufinansiranje-programa-i-projekata-za-sprovodenje-ciljeva-nacionalne-strategije-za-mlade-i-programa-mladi-su-zakon4</w:t>
        </w:r>
      </w:hyperlink>
      <w:r>
        <w:rPr>
          <w:sz w:val="20"/>
          <w:szCs w:val="20"/>
        </w:rPr>
        <w:t xml:space="preserve"> </w:t>
      </w:r>
    </w:p>
  </w:footnote>
  <w:footnote w:id="3">
    <w:p w14:paraId="06585EC2" w14:textId="77777777" w:rsidR="00A45440" w:rsidRDefault="00A45440" w:rsidP="00A45440">
      <w:pPr>
        <w:rPr>
          <w:sz w:val="20"/>
          <w:szCs w:val="20"/>
        </w:rPr>
      </w:pPr>
      <w:r>
        <w:rPr>
          <w:vertAlign w:val="superscript"/>
        </w:rPr>
        <w:footnoteRef/>
      </w:r>
      <w:r>
        <w:rPr>
          <w:sz w:val="20"/>
          <w:szCs w:val="20"/>
        </w:rPr>
        <w:t xml:space="preserve"> </w:t>
      </w:r>
      <w:hyperlink r:id="rId2">
        <w:r>
          <w:rPr>
            <w:color w:val="1155CC"/>
            <w:sz w:val="20"/>
            <w:szCs w:val="20"/>
            <w:u w:val="single"/>
          </w:rPr>
          <w:t>https://www.mos.gov.rs/vest/objavljeni-javni-konkursi-za-programe-i-projekte-od-javnog-interesa-u-oblastima-omladinskog-sektora5</w:t>
        </w:r>
      </w:hyperlink>
      <w:r>
        <w:rPr>
          <w:sz w:val="20"/>
          <w:szCs w:val="20"/>
        </w:rPr>
        <w:t xml:space="preserve"> </w:t>
      </w:r>
    </w:p>
  </w:footnote>
  <w:footnote w:id="4">
    <w:p w14:paraId="0737EFA1" w14:textId="77777777" w:rsidR="00A45440" w:rsidRDefault="00A45440" w:rsidP="00A45440">
      <w:pPr>
        <w:rPr>
          <w:sz w:val="20"/>
          <w:szCs w:val="20"/>
        </w:rPr>
      </w:pPr>
      <w:r>
        <w:rPr>
          <w:vertAlign w:val="superscript"/>
        </w:rPr>
        <w:footnoteRef/>
      </w:r>
      <w:r>
        <w:rPr>
          <w:sz w:val="20"/>
          <w:szCs w:val="20"/>
        </w:rPr>
        <w:t xml:space="preserve"> </w:t>
      </w:r>
      <w:hyperlink r:id="rId3">
        <w:r>
          <w:rPr>
            <w:color w:val="1155CC"/>
            <w:sz w:val="20"/>
            <w:szCs w:val="20"/>
            <w:u w:val="single"/>
          </w:rPr>
          <w:t>https://www.mos.gov.rs/vest/objavljeni-javni-konkursi-za-programe-i-projekte-od-javnog-interesa-u-oblastima-omladinskog-sektora5</w:t>
        </w:r>
      </w:hyperlink>
      <w:r>
        <w:rPr>
          <w:sz w:val="20"/>
          <w:szCs w:val="20"/>
        </w:rPr>
        <w:t xml:space="preserve"> </w:t>
      </w:r>
    </w:p>
    <w:p w14:paraId="07F09AFB" w14:textId="77777777" w:rsidR="00A45440" w:rsidRDefault="00A45440" w:rsidP="00A45440">
      <w:pPr>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644" w14:textId="77777777" w:rsidR="007447BB" w:rsidRDefault="00F8574B">
    <w:pPr>
      <w:pStyle w:val="Header"/>
    </w:pPr>
    <w:r w:rsidRPr="00F8574B">
      <w:rPr>
        <w:noProof/>
      </w:rPr>
      <w:drawing>
        <wp:anchor distT="0" distB="0" distL="114300" distR="114300" simplePos="0" relativeHeight="251658240" behindDoc="0" locked="0" layoutInCell="1" allowOverlap="1" wp14:anchorId="244E4151" wp14:editId="2A368CC8">
          <wp:simplePos x="0" y="0"/>
          <wp:positionH relativeFrom="page">
            <wp:align>right</wp:align>
          </wp:positionH>
          <wp:positionV relativeFrom="paragraph">
            <wp:posOffset>-134620</wp:posOffset>
          </wp:positionV>
          <wp:extent cx="7668077" cy="1504950"/>
          <wp:effectExtent l="0" t="0" r="952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68077"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2EC7"/>
    <w:multiLevelType w:val="multilevel"/>
    <w:tmpl w:val="680CE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1F2C62"/>
    <w:multiLevelType w:val="hybridMultilevel"/>
    <w:tmpl w:val="F2B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87101"/>
    <w:multiLevelType w:val="multilevel"/>
    <w:tmpl w:val="14487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FB1246"/>
    <w:multiLevelType w:val="multilevel"/>
    <w:tmpl w:val="88B63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183814"/>
    <w:multiLevelType w:val="hybridMultilevel"/>
    <w:tmpl w:val="71CC1804"/>
    <w:lvl w:ilvl="0" w:tplc="FBCA32AC">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15:restartNumberingAfterBreak="0">
    <w:nsid w:val="38880B39"/>
    <w:multiLevelType w:val="multilevel"/>
    <w:tmpl w:val="74E4C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455E20"/>
    <w:multiLevelType w:val="multilevel"/>
    <w:tmpl w:val="6602C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0619E4"/>
    <w:multiLevelType w:val="hybridMultilevel"/>
    <w:tmpl w:val="1D7695D8"/>
    <w:lvl w:ilvl="0" w:tplc="50C884C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D41142B"/>
    <w:multiLevelType w:val="hybridMultilevel"/>
    <w:tmpl w:val="50E614FA"/>
    <w:lvl w:ilvl="0" w:tplc="02D2946A">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71F222AC"/>
    <w:multiLevelType w:val="multilevel"/>
    <w:tmpl w:val="BB54FFBA"/>
    <w:lvl w:ilvl="0">
      <w:start w:val="1"/>
      <w:numFmt w:val="decimal"/>
      <w:lvlText w:val="%1."/>
      <w:lvlJc w:val="left"/>
      <w:pPr>
        <w:ind w:left="1440" w:hanging="360"/>
      </w:pPr>
      <w:rPr>
        <w:color w:val="00000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D1A16E4"/>
    <w:multiLevelType w:val="hybridMultilevel"/>
    <w:tmpl w:val="CD64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C3F1F"/>
    <w:multiLevelType w:val="hybridMultilevel"/>
    <w:tmpl w:val="6CA0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11"/>
  </w:num>
  <w:num w:numId="5">
    <w:abstractNumId w:val="10"/>
  </w:num>
  <w:num w:numId="6">
    <w:abstractNumId w:val="8"/>
  </w:num>
  <w:num w:numId="7">
    <w:abstractNumId w:val="9"/>
  </w:num>
  <w:num w:numId="8">
    <w:abstractNumId w:val="2"/>
  </w:num>
  <w:num w:numId="9">
    <w:abstractNumId w:val="3"/>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BF"/>
    <w:rsid w:val="00022A84"/>
    <w:rsid w:val="00027E91"/>
    <w:rsid w:val="00043431"/>
    <w:rsid w:val="00045D89"/>
    <w:rsid w:val="000477B1"/>
    <w:rsid w:val="00076AFC"/>
    <w:rsid w:val="000B1AC1"/>
    <w:rsid w:val="000F7824"/>
    <w:rsid w:val="00130F82"/>
    <w:rsid w:val="00135E54"/>
    <w:rsid w:val="00136F4B"/>
    <w:rsid w:val="00137480"/>
    <w:rsid w:val="00141C57"/>
    <w:rsid w:val="00143778"/>
    <w:rsid w:val="00151B0A"/>
    <w:rsid w:val="0015486C"/>
    <w:rsid w:val="0016020B"/>
    <w:rsid w:val="00191424"/>
    <w:rsid w:val="001945C4"/>
    <w:rsid w:val="001A6652"/>
    <w:rsid w:val="001B2313"/>
    <w:rsid w:val="001D2032"/>
    <w:rsid w:val="001F4EDF"/>
    <w:rsid w:val="002070C2"/>
    <w:rsid w:val="00210B9E"/>
    <w:rsid w:val="002363A9"/>
    <w:rsid w:val="002668B7"/>
    <w:rsid w:val="00283D1A"/>
    <w:rsid w:val="002A43CE"/>
    <w:rsid w:val="002B006E"/>
    <w:rsid w:val="0030317D"/>
    <w:rsid w:val="00337D3E"/>
    <w:rsid w:val="003434F1"/>
    <w:rsid w:val="00345633"/>
    <w:rsid w:val="00357397"/>
    <w:rsid w:val="00357436"/>
    <w:rsid w:val="0036239D"/>
    <w:rsid w:val="0038028B"/>
    <w:rsid w:val="00380295"/>
    <w:rsid w:val="00384984"/>
    <w:rsid w:val="00386257"/>
    <w:rsid w:val="00396B69"/>
    <w:rsid w:val="003B6D54"/>
    <w:rsid w:val="003C2308"/>
    <w:rsid w:val="00405717"/>
    <w:rsid w:val="00472A73"/>
    <w:rsid w:val="004770BF"/>
    <w:rsid w:val="004D0E0E"/>
    <w:rsid w:val="004D2600"/>
    <w:rsid w:val="004E7033"/>
    <w:rsid w:val="004E7A88"/>
    <w:rsid w:val="005246F4"/>
    <w:rsid w:val="00552C19"/>
    <w:rsid w:val="00554CA6"/>
    <w:rsid w:val="00587BFE"/>
    <w:rsid w:val="00591E07"/>
    <w:rsid w:val="005A142D"/>
    <w:rsid w:val="005B38DA"/>
    <w:rsid w:val="005E0F0E"/>
    <w:rsid w:val="005F2B19"/>
    <w:rsid w:val="005F6B1C"/>
    <w:rsid w:val="00662C16"/>
    <w:rsid w:val="00665C5F"/>
    <w:rsid w:val="006A7AE4"/>
    <w:rsid w:val="006C041B"/>
    <w:rsid w:val="006D0C63"/>
    <w:rsid w:val="006D3EAC"/>
    <w:rsid w:val="006D5FE9"/>
    <w:rsid w:val="006F5B56"/>
    <w:rsid w:val="007157F7"/>
    <w:rsid w:val="007447BB"/>
    <w:rsid w:val="00752B33"/>
    <w:rsid w:val="0076396D"/>
    <w:rsid w:val="0078041E"/>
    <w:rsid w:val="007A6B72"/>
    <w:rsid w:val="007B1ACC"/>
    <w:rsid w:val="007F1068"/>
    <w:rsid w:val="008078DF"/>
    <w:rsid w:val="00816252"/>
    <w:rsid w:val="008423F4"/>
    <w:rsid w:val="008466D3"/>
    <w:rsid w:val="00867C0F"/>
    <w:rsid w:val="00882672"/>
    <w:rsid w:val="008C7A41"/>
    <w:rsid w:val="008E5BC0"/>
    <w:rsid w:val="0090664B"/>
    <w:rsid w:val="00932202"/>
    <w:rsid w:val="00947995"/>
    <w:rsid w:val="00982424"/>
    <w:rsid w:val="009B74D5"/>
    <w:rsid w:val="009C5D69"/>
    <w:rsid w:val="009D1577"/>
    <w:rsid w:val="009F537A"/>
    <w:rsid w:val="00A020F0"/>
    <w:rsid w:val="00A029A6"/>
    <w:rsid w:val="00A12D98"/>
    <w:rsid w:val="00A13DAD"/>
    <w:rsid w:val="00A16E61"/>
    <w:rsid w:val="00A204F2"/>
    <w:rsid w:val="00A268EA"/>
    <w:rsid w:val="00A40DFE"/>
    <w:rsid w:val="00A4539A"/>
    <w:rsid w:val="00A45440"/>
    <w:rsid w:val="00A50D2E"/>
    <w:rsid w:val="00A94663"/>
    <w:rsid w:val="00AB182B"/>
    <w:rsid w:val="00AB7313"/>
    <w:rsid w:val="00AE1DBB"/>
    <w:rsid w:val="00AE7AF0"/>
    <w:rsid w:val="00B44D2E"/>
    <w:rsid w:val="00B50F25"/>
    <w:rsid w:val="00B716F2"/>
    <w:rsid w:val="00B97B74"/>
    <w:rsid w:val="00BC4A2B"/>
    <w:rsid w:val="00C27BDF"/>
    <w:rsid w:val="00C32B2A"/>
    <w:rsid w:val="00C70B5E"/>
    <w:rsid w:val="00C741D3"/>
    <w:rsid w:val="00C81A6C"/>
    <w:rsid w:val="00C93409"/>
    <w:rsid w:val="00CB301A"/>
    <w:rsid w:val="00D01FE4"/>
    <w:rsid w:val="00D122C3"/>
    <w:rsid w:val="00D51F93"/>
    <w:rsid w:val="00D564E3"/>
    <w:rsid w:val="00D62BAC"/>
    <w:rsid w:val="00D74B9C"/>
    <w:rsid w:val="00DA4F39"/>
    <w:rsid w:val="00DD5A5F"/>
    <w:rsid w:val="00DE16E3"/>
    <w:rsid w:val="00DF3CC1"/>
    <w:rsid w:val="00DF502D"/>
    <w:rsid w:val="00E1750C"/>
    <w:rsid w:val="00EB1428"/>
    <w:rsid w:val="00EB7207"/>
    <w:rsid w:val="00EC4899"/>
    <w:rsid w:val="00EC7430"/>
    <w:rsid w:val="00EE1FCF"/>
    <w:rsid w:val="00EE5A9F"/>
    <w:rsid w:val="00EF3497"/>
    <w:rsid w:val="00F0057B"/>
    <w:rsid w:val="00F02EBA"/>
    <w:rsid w:val="00F1280C"/>
    <w:rsid w:val="00F27A81"/>
    <w:rsid w:val="00F5345F"/>
    <w:rsid w:val="00F57149"/>
    <w:rsid w:val="00F6459F"/>
    <w:rsid w:val="00F67273"/>
    <w:rsid w:val="00F72BDA"/>
    <w:rsid w:val="00F82665"/>
    <w:rsid w:val="00F8574B"/>
    <w:rsid w:val="00F96ABF"/>
    <w:rsid w:val="00FC7BF3"/>
    <w:rsid w:val="00FF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DA0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70B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0B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716F2"/>
    <w:pPr>
      <w:tabs>
        <w:tab w:val="center" w:pos="4680"/>
        <w:tab w:val="right" w:pos="9360"/>
      </w:tabs>
    </w:pPr>
  </w:style>
  <w:style w:type="character" w:customStyle="1" w:styleId="HeaderChar">
    <w:name w:val="Header Char"/>
    <w:basedOn w:val="DefaultParagraphFont"/>
    <w:link w:val="Header"/>
    <w:uiPriority w:val="99"/>
    <w:rsid w:val="00B716F2"/>
  </w:style>
  <w:style w:type="paragraph" w:styleId="Footer">
    <w:name w:val="footer"/>
    <w:basedOn w:val="Normal"/>
    <w:link w:val="FooterChar"/>
    <w:uiPriority w:val="99"/>
    <w:unhideWhenUsed/>
    <w:rsid w:val="00B716F2"/>
    <w:pPr>
      <w:tabs>
        <w:tab w:val="center" w:pos="4680"/>
        <w:tab w:val="right" w:pos="9360"/>
      </w:tabs>
    </w:pPr>
  </w:style>
  <w:style w:type="character" w:customStyle="1" w:styleId="FooterChar">
    <w:name w:val="Footer Char"/>
    <w:basedOn w:val="DefaultParagraphFont"/>
    <w:link w:val="Footer"/>
    <w:uiPriority w:val="99"/>
    <w:rsid w:val="00B716F2"/>
  </w:style>
  <w:style w:type="paragraph" w:styleId="BalloonText">
    <w:name w:val="Balloon Text"/>
    <w:basedOn w:val="Normal"/>
    <w:link w:val="BalloonTextChar"/>
    <w:uiPriority w:val="99"/>
    <w:semiHidden/>
    <w:unhideWhenUsed/>
    <w:rsid w:val="00047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B1"/>
    <w:rPr>
      <w:rFonts w:ascii="Segoe UI" w:hAnsi="Segoe UI" w:cs="Segoe UI"/>
      <w:sz w:val="18"/>
      <w:szCs w:val="18"/>
    </w:rPr>
  </w:style>
  <w:style w:type="paragraph" w:styleId="NormalWeb">
    <w:name w:val="Normal (Web)"/>
    <w:basedOn w:val="Normal"/>
    <w:uiPriority w:val="99"/>
    <w:unhideWhenUsed/>
    <w:rsid w:val="000477B1"/>
    <w:pPr>
      <w:spacing w:before="100" w:beforeAutospacing="1" w:after="100" w:afterAutospacing="1"/>
    </w:pPr>
    <w:rPr>
      <w:rFonts w:ascii="Times New Roman" w:hAnsi="Times New Roman" w:cs="Times New Roman"/>
    </w:rPr>
  </w:style>
  <w:style w:type="character" w:customStyle="1" w:styleId="a">
    <w:name w:val="a"/>
    <w:basedOn w:val="DefaultParagraphFont"/>
    <w:rsid w:val="00F0057B"/>
  </w:style>
  <w:style w:type="paragraph" w:styleId="BodyText">
    <w:name w:val="Body Text"/>
    <w:basedOn w:val="Normal"/>
    <w:link w:val="BodyTextChar"/>
    <w:rsid w:val="00F0057B"/>
    <w:pPr>
      <w:tabs>
        <w:tab w:val="left" w:pos="720"/>
        <w:tab w:val="left" w:pos="1440"/>
        <w:tab w:val="left" w:pos="2160"/>
        <w:tab w:val="left" w:pos="2880"/>
        <w:tab w:val="left" w:pos="3600"/>
        <w:tab w:val="left" w:pos="4320"/>
        <w:tab w:val="left" w:pos="5040"/>
        <w:tab w:val="left" w:pos="5655"/>
      </w:tabs>
      <w:spacing w:after="200" w:line="276" w:lineRule="auto"/>
    </w:pPr>
    <w:rPr>
      <w:rFonts w:ascii="Tahoma" w:eastAsia="Calibri" w:hAnsi="Tahoma" w:cs="Tahoma"/>
      <w:b/>
      <w:bCs/>
      <w:sz w:val="22"/>
      <w:szCs w:val="22"/>
      <w:lang w:val="sr-Latn-CS"/>
    </w:rPr>
  </w:style>
  <w:style w:type="character" w:customStyle="1" w:styleId="BodyTextChar">
    <w:name w:val="Body Text Char"/>
    <w:basedOn w:val="DefaultParagraphFont"/>
    <w:link w:val="BodyText"/>
    <w:rsid w:val="00F0057B"/>
    <w:rPr>
      <w:rFonts w:ascii="Tahoma" w:eastAsia="Calibri" w:hAnsi="Tahoma" w:cs="Tahoma"/>
      <w:b/>
      <w:bCs/>
      <w:sz w:val="22"/>
      <w:szCs w:val="22"/>
      <w:lang w:val="sr-Latn-CS"/>
    </w:rPr>
  </w:style>
  <w:style w:type="character" w:styleId="Hyperlink">
    <w:name w:val="Hyperlink"/>
    <w:basedOn w:val="DefaultParagraphFont"/>
    <w:uiPriority w:val="99"/>
    <w:unhideWhenUsed/>
    <w:rsid w:val="00EB1428"/>
    <w:rPr>
      <w:color w:val="0563C1" w:themeColor="hyperlink"/>
      <w:u w:val="single"/>
    </w:rPr>
  </w:style>
  <w:style w:type="character" w:styleId="FollowedHyperlink">
    <w:name w:val="FollowedHyperlink"/>
    <w:basedOn w:val="DefaultParagraphFont"/>
    <w:uiPriority w:val="99"/>
    <w:semiHidden/>
    <w:unhideWhenUsed/>
    <w:rsid w:val="00A40DFE"/>
    <w:rPr>
      <w:color w:val="954F72" w:themeColor="followedHyperlink"/>
      <w:u w:val="single"/>
    </w:rPr>
  </w:style>
  <w:style w:type="paragraph" w:styleId="ListParagraph">
    <w:name w:val="List Paragraph"/>
    <w:basedOn w:val="Normal"/>
    <w:uiPriority w:val="34"/>
    <w:qFormat/>
    <w:rsid w:val="00357436"/>
    <w:pPr>
      <w:ind w:left="720"/>
      <w:contextualSpacing/>
    </w:pPr>
    <w:rPr>
      <w:lang w:val="en-GB"/>
    </w:rPr>
  </w:style>
  <w:style w:type="paragraph" w:styleId="Title">
    <w:name w:val="Title"/>
    <w:basedOn w:val="Normal"/>
    <w:next w:val="Normal"/>
    <w:link w:val="TitleChar"/>
    <w:rsid w:val="00A45440"/>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A45440"/>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151485">
      <w:bodyDiv w:val="1"/>
      <w:marLeft w:val="0"/>
      <w:marRight w:val="0"/>
      <w:marTop w:val="0"/>
      <w:marBottom w:val="0"/>
      <w:divBdr>
        <w:top w:val="none" w:sz="0" w:space="0" w:color="auto"/>
        <w:left w:val="none" w:sz="0" w:space="0" w:color="auto"/>
        <w:bottom w:val="none" w:sz="0" w:space="0" w:color="auto"/>
        <w:right w:val="none" w:sz="0" w:space="0" w:color="auto"/>
      </w:divBdr>
    </w:div>
    <w:div w:id="1464227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d.rs/2019/08/09/reagovanje-nkd-zasto-ministarstvo-omladine-diskriminise-mlade-van-beogr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os.gov.rs/vest/objavljeni-javni-konkursi-za-programe-i-projekte-od-javnog-interesa-u-oblastima-omladinskog-sektora5" TargetMode="External"/><Relationship Id="rId2" Type="http://schemas.openxmlformats.org/officeDocument/2006/relationships/hyperlink" Target="https://www.mos.gov.rs/vest/objavljeni-javni-konkursi-za-programe-i-projekte-od-javnog-interesa-u-oblastima-omladinskog-sektora5" TargetMode="External"/><Relationship Id="rId1" Type="http://schemas.openxmlformats.org/officeDocument/2006/relationships/hyperlink" Target="https://www.mos.gov.rs/vest/rezultati-javnog-konkursa-za-finansiranje-i-sufinansiranje-programa-i-projekata-za-sprovodenje-ciljeva-nacionalne-strategije-za-mlade-i-programa-mladi-su-zakon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FA0C-0CC1-4B8F-9CB2-E9980E27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NCD</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Marija Marinkovic</cp:lastModifiedBy>
  <cp:revision>29</cp:revision>
  <cp:lastPrinted>2020-07-27T07:48:00Z</cp:lastPrinted>
  <dcterms:created xsi:type="dcterms:W3CDTF">2020-07-16T14:55:00Z</dcterms:created>
  <dcterms:modified xsi:type="dcterms:W3CDTF">2020-07-27T11:04:00Z</dcterms:modified>
</cp:coreProperties>
</file>